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B2545"/>
          <w:sz w:val="44"/>
        </w:rPr>
        <w:t>STEWARDEX — PRICING TIER UPDATE</w:t>
      </w:r>
    </w:p>
    <w:p>
      <w:pPr>
        <w:spacing w:after="40"/>
      </w:pPr>
      <w:r>
        <w:rPr>
          <w:b/>
          <w:color w:val="1F8A7E"/>
          <w:sz w:val="24"/>
        </w:rPr>
        <w:t>New features, per-tier impact, and one new plan</w:t>
      </w:r>
    </w:p>
    <w:tbl>
      <w:tblPr>
        <w:tblW w:type="auto" w:w="0"/>
        <w:tblLook w:firstColumn="1" w:firstRow="1" w:lastColumn="0" w:lastRow="0" w:noHBand="0" w:noVBand="1" w:val="04A0"/>
        <w:tblBorders>
          <w:top w:val="none"/>
          <w:left w:val="none"/>
          <w:bottom w:val="none"/>
          <w:right w:val="none"/>
          <w:insideH w:val="none"/>
          <w:insideV w:val="none"/>
        </w:tblBorders>
      </w:tblPr>
      <w:tblGrid>
        <w:gridCol w:w="2550"/>
        <w:gridCol w:w="2550"/>
        <w:gridCol w:w="2550"/>
        <w:gridCol w:w="2550"/>
      </w:tblGrid>
      <w:tr>
        <w:tc>
          <w:tcPr>
            <w:tcW w:type="dxa" w:w="2550"/>
          </w:tcPr>
          <w:p>
            <w:pPr>
              <w:spacing w:after="20" w:before="20"/>
            </w:pPr>
            <w:r/>
            <w:r>
              <w:rPr>
                <w:b/>
                <w:color w:val="5A6675"/>
                <w:sz w:val="16"/>
              </w:rPr>
              <w:t>DOCUMENT</w:t>
            </w:r>
          </w:p>
        </w:tc>
        <w:tc>
          <w:tcPr>
            <w:tcW w:type="dxa" w:w="2550"/>
          </w:tcPr>
          <w:p>
            <w:pPr>
              <w:spacing w:after="20" w:before="20"/>
            </w:pPr>
            <w:r/>
            <w:r>
              <w:rPr>
                <w:b/>
                <w:color w:val="5A6675"/>
                <w:sz w:val="16"/>
              </w:rPr>
              <w:t>BASELINE</w:t>
            </w:r>
          </w:p>
        </w:tc>
        <w:tc>
          <w:tcPr>
            <w:tcW w:type="dxa" w:w="2550"/>
          </w:tcPr>
          <w:p>
            <w:pPr>
              <w:spacing w:after="20" w:before="20"/>
            </w:pPr>
            <w:r/>
            <w:r>
              <w:rPr>
                <w:b/>
                <w:color w:val="5A6675"/>
                <w:sz w:val="16"/>
              </w:rPr>
              <w:t>CURRENCY</w:t>
            </w:r>
          </w:p>
        </w:tc>
        <w:tc>
          <w:tcPr>
            <w:tcW w:type="dxa" w:w="2550"/>
          </w:tcPr>
          <w:p>
            <w:pPr>
              <w:spacing w:after="20" w:before="20"/>
            </w:pPr>
            <w:r/>
            <w:r>
              <w:rPr>
                <w:b/>
                <w:color w:val="5A6675"/>
                <w:sz w:val="16"/>
              </w:rPr>
              <w:t>DATE</w:t>
            </w:r>
          </w:p>
        </w:tc>
      </w:tr>
      <w:tr>
        <w:tc>
          <w:tcPr>
            <w:tcW w:type="dxa" w:w="2550"/>
          </w:tcPr>
          <w:p>
            <w:pPr>
              <w:spacing w:after="20" w:before="20"/>
            </w:pPr>
            <w:r/>
            <w:r>
              <w:rPr>
                <w:b/>
                <w:color w:val="0B2545"/>
                <w:sz w:val="19"/>
              </w:rPr>
              <w:t>Pricing Tier Update v1.1</w:t>
            </w:r>
          </w:p>
        </w:tc>
        <w:tc>
          <w:tcPr>
            <w:tcW w:type="dxa" w:w="2550"/>
          </w:tcPr>
          <w:p>
            <w:pPr>
              <w:spacing w:after="20" w:before="20"/>
            </w:pPr>
            <w:r/>
            <w:r>
              <w:rPr>
                <w:b/>
                <w:color w:val="0B2545"/>
                <w:sz w:val="19"/>
              </w:rPr>
              <w:t>Billing Handbook v1.0 (4 May 2026)</w:t>
            </w:r>
          </w:p>
        </w:tc>
        <w:tc>
          <w:tcPr>
            <w:tcW w:type="dxa" w:w="2550"/>
          </w:tcPr>
          <w:p>
            <w:pPr>
              <w:spacing w:after="20" w:before="20"/>
            </w:pPr>
            <w:r/>
            <w:r>
              <w:rPr>
                <w:b/>
                <w:color w:val="0B2545"/>
                <w:sz w:val="19"/>
              </w:rPr>
              <w:t>AUD (indicative — confirm)</w:t>
            </w:r>
          </w:p>
        </w:tc>
        <w:tc>
          <w:tcPr>
            <w:tcW w:type="dxa" w:w="2550"/>
          </w:tcPr>
          <w:p>
            <w:pPr>
              <w:spacing w:after="20" w:before="20"/>
            </w:pPr>
            <w:r/>
            <w:r>
              <w:rPr>
                <w:b/>
                <w:color w:val="0B2545"/>
                <w:sz w:val="19"/>
              </w:rPr>
              <w:t>19 June 2026</w:t>
            </w:r>
          </w:p>
        </w:tc>
      </w:tr>
    </w:tbl>
    <w:p>
      <w:pPr>
        <w:spacing w:before="80" w:after="40"/>
        <w:pBdr>
          <w:bottom w:val="single" w:sz="18" w:space="1" w:color="1F8A7E"/>
        </w:pBdr>
      </w:pPr>
    </w:p>
    <w:p>
      <w:pPr>
        <w:spacing w:before="240" w:after="80"/>
        <w:pBdr>
          <w:bottom w:val="single" w:sz="12" w:space="3" w:color="1F8A7E"/>
        </w:pBdr>
      </w:pPr>
      <w:r>
        <w:rPr>
          <w:b/>
          <w:color w:val="0B2545"/>
          <w:sz w:val="27"/>
        </w:rPr>
        <w:t>1.  Purpose</w:t>
      </w:r>
    </w:p>
    <w:p>
      <w:pPr>
        <w:spacing w:after="100"/>
      </w:pPr>
      <w:r>
        <w:rPr>
          <w:b w:val="0"/>
          <w:i w:val="0"/>
          <w:color w:val="222A33"/>
          <w:sz w:val="21"/>
        </w:rPr>
        <w:t>The Subscription, Billing &amp; Usage-Enforcement Handbook (v1.0) defined three public tiers — Foundation, Professional and Enterprise — and a catalogue of 37 feature flags. Since then the platform has shipped a number of modules that the documented tiering does not yet account for, and several high-value modules are currently bundled into the wrong (lower) tier. This document: (a) lists what is not yet in the priced catalogue, (b) recommends how each new capability should be tiered and how pricing is impacted, and (c) defines one complete new plan to fill the gap in the line-up.</w:t>
      </w:r>
    </w:p>
    <w:p>
      <w:pPr>
        <w:spacing w:after="60"/>
      </w:pPr>
      <w:r>
        <w:rPr>
          <w:b w:val="0"/>
          <w:i/>
          <w:color w:val="B04A1A"/>
          <w:sz w:val="19"/>
        </w:rPr>
        <w:t>All prices are in AUD and are indicative — confirm before publishing.</w:t>
      </w:r>
    </w:p>
    <w:p>
      <w:pPr>
        <w:spacing w:before="240" w:after="80"/>
        <w:pBdr>
          <w:bottom w:val="single" w:sz="12" w:space="3" w:color="1F8A7E"/>
        </w:pBdr>
      </w:pPr>
      <w:r>
        <w:rPr>
          <w:b/>
          <w:color w:val="0B2545"/>
          <w:sz w:val="27"/>
        </w:rPr>
        <w:t>2.  Current catalogue (baseline)</w:t>
      </w:r>
    </w:p>
    <w:p>
      <w:pPr>
        <w:spacing w:after="100"/>
      </w:pPr>
      <w:r>
        <w:rPr>
          <w:b w:val="0"/>
          <w:i w:val="0"/>
          <w:color w:val="222A33"/>
          <w:sz w:val="21"/>
        </w:rPr>
        <w:t>Four plans exist in code today: Foundation, Professional and Enterprise are seeded and public; a fourth Bespoke (contact-sales) plan exists as a template with the full Enterprise feature set and no public price. Key particulars:</w:t>
      </w:r>
    </w:p>
    <w:tbl>
      <w:tblPr>
        <w:tblStyle w:val="TableGrid"/>
        <w:tblW w:type="auto" w:w="0"/>
        <w:jc w:val="center"/>
        <w:tblLook w:firstColumn="1" w:firstRow="1" w:lastColumn="0" w:lastRow="0" w:noHBand="0" w:noVBand="1" w:val="04A0"/>
      </w:tblPr>
      <w:tblGrid>
        <w:gridCol w:w="1275"/>
        <w:gridCol w:w="1275"/>
        <w:gridCol w:w="1275"/>
        <w:gridCol w:w="1275"/>
        <w:gridCol w:w="1275"/>
        <w:gridCol w:w="1275"/>
        <w:gridCol w:w="1275"/>
        <w:gridCol w:w="1275"/>
      </w:tblGrid>
      <w:tr>
        <w:tc>
          <w:tcPr>
            <w:tcW w:type="dxa" w:w="1275"/>
            <w:shd w:val="clear" w:color="auto" w:fill="1F8A7E"/>
          </w:tcPr>
          <w:p>
            <w:pPr>
              <w:spacing w:after="20" w:before="20"/>
            </w:pPr>
            <w:r/>
            <w:r>
              <w:rPr>
                <w:b/>
                <w:color w:val="FFFFFF"/>
                <w:sz w:val="18"/>
              </w:rPr>
              <w:t>Plan</w:t>
            </w:r>
          </w:p>
        </w:tc>
        <w:tc>
          <w:tcPr>
            <w:tcW w:type="dxa" w:w="1275"/>
            <w:shd w:val="clear" w:color="auto" w:fill="1F8A7E"/>
          </w:tcPr>
          <w:p>
            <w:pPr>
              <w:spacing w:after="20" w:before="20"/>
            </w:pPr>
            <w:r/>
            <w:r>
              <w:rPr>
                <w:b/>
                <w:color w:val="FFFFFF"/>
                <w:sz w:val="18"/>
              </w:rPr>
              <w:t>Monthly</w:t>
            </w:r>
          </w:p>
        </w:tc>
        <w:tc>
          <w:tcPr>
            <w:tcW w:type="dxa" w:w="1275"/>
            <w:shd w:val="clear" w:color="auto" w:fill="1F8A7E"/>
          </w:tcPr>
          <w:p>
            <w:pPr>
              <w:spacing w:after="20" w:before="20"/>
            </w:pPr>
            <w:r/>
            <w:r>
              <w:rPr>
                <w:b/>
                <w:color w:val="FFFFFF"/>
                <w:sz w:val="18"/>
              </w:rPr>
              <w:t>Annual</w:t>
            </w:r>
          </w:p>
        </w:tc>
        <w:tc>
          <w:tcPr>
            <w:tcW w:type="dxa" w:w="1275"/>
            <w:shd w:val="clear" w:color="auto" w:fill="1F8A7E"/>
          </w:tcPr>
          <w:p>
            <w:pPr>
              <w:spacing w:after="20" w:before="20"/>
            </w:pPr>
            <w:r/>
            <w:r>
              <w:rPr>
                <w:b/>
                <w:color w:val="FFFFFF"/>
                <w:sz w:val="18"/>
              </w:rPr>
              <w:t>Staff seats</w:t>
            </w:r>
          </w:p>
        </w:tc>
        <w:tc>
          <w:tcPr>
            <w:tcW w:type="dxa" w:w="1275"/>
            <w:shd w:val="clear" w:color="auto" w:fill="1F8A7E"/>
          </w:tcPr>
          <w:p>
            <w:pPr>
              <w:spacing w:after="20" w:before="20"/>
            </w:pPr>
            <w:r/>
            <w:r>
              <w:rPr>
                <w:b/>
                <w:color w:val="FFFFFF"/>
                <w:sz w:val="18"/>
              </w:rPr>
              <w:t>Board seats</w:t>
            </w:r>
          </w:p>
        </w:tc>
        <w:tc>
          <w:tcPr>
            <w:tcW w:type="dxa" w:w="1275"/>
            <w:shd w:val="clear" w:color="auto" w:fill="1F8A7E"/>
          </w:tcPr>
          <w:p>
            <w:pPr>
              <w:spacing w:after="20" w:before="20"/>
            </w:pPr>
            <w:r/>
            <w:r>
              <w:rPr>
                <w:b/>
                <w:color w:val="FFFFFF"/>
                <w:sz w:val="18"/>
              </w:rPr>
              <w:t>Workflows/mo</w:t>
            </w:r>
          </w:p>
        </w:tc>
        <w:tc>
          <w:tcPr>
            <w:tcW w:type="dxa" w:w="1275"/>
            <w:shd w:val="clear" w:color="auto" w:fill="1F8A7E"/>
          </w:tcPr>
          <w:p>
            <w:pPr>
              <w:spacing w:after="20" w:before="20"/>
            </w:pPr>
            <w:r/>
            <w:r>
              <w:rPr>
                <w:b/>
                <w:color w:val="FFFFFF"/>
                <w:sz w:val="18"/>
              </w:rPr>
              <w:t>Storage</w:t>
            </w:r>
          </w:p>
        </w:tc>
        <w:tc>
          <w:tcPr>
            <w:tcW w:type="dxa" w:w="1275"/>
            <w:shd w:val="clear" w:color="auto" w:fill="1F8A7E"/>
          </w:tcPr>
          <w:p>
            <w:pPr>
              <w:spacing w:after="20" w:before="20"/>
            </w:pPr>
            <w:r/>
            <w:r>
              <w:rPr>
                <w:b/>
                <w:color w:val="FFFFFF"/>
                <w:sz w:val="18"/>
              </w:rPr>
              <w:t>Support</w:t>
            </w:r>
          </w:p>
        </w:tc>
      </w:tr>
      <w:tr>
        <w:tc>
          <w:tcPr>
            <w:tcW w:type="dxa" w:w="1275"/>
          </w:tcPr>
          <w:p>
            <w:pPr>
              <w:spacing w:after="20" w:before="20"/>
            </w:pPr>
            <w:r/>
            <w:r>
              <w:rPr>
                <w:b/>
                <w:color w:val="222A33"/>
                <w:sz w:val="18"/>
              </w:rPr>
              <w:t>Foundation</w:t>
            </w:r>
          </w:p>
        </w:tc>
        <w:tc>
          <w:tcPr>
            <w:tcW w:type="dxa" w:w="1275"/>
          </w:tcPr>
          <w:p>
            <w:pPr>
              <w:spacing w:after="20" w:before="20"/>
            </w:pPr>
            <w:r/>
            <w:r>
              <w:rPr>
                <w:b w:val="0"/>
                <w:color w:val="222A33"/>
                <w:sz w:val="18"/>
              </w:rPr>
              <w:t>$299</w:t>
            </w:r>
          </w:p>
        </w:tc>
        <w:tc>
          <w:tcPr>
            <w:tcW w:type="dxa" w:w="1275"/>
          </w:tcPr>
          <w:p>
            <w:pPr>
              <w:spacing w:after="20" w:before="20"/>
            </w:pPr>
            <w:r/>
            <w:r>
              <w:rPr>
                <w:b w:val="0"/>
                <w:color w:val="222A33"/>
                <w:sz w:val="18"/>
              </w:rPr>
              <w:t>$2,990</w:t>
            </w:r>
          </w:p>
        </w:tc>
        <w:tc>
          <w:tcPr>
            <w:tcW w:type="dxa" w:w="1275"/>
          </w:tcPr>
          <w:p>
            <w:pPr>
              <w:spacing w:after="20" w:before="20"/>
            </w:pPr>
            <w:r/>
            <w:r>
              <w:rPr>
                <w:b w:val="0"/>
                <w:color w:val="222A33"/>
                <w:sz w:val="18"/>
              </w:rPr>
              <w:t>5</w:t>
            </w:r>
          </w:p>
        </w:tc>
        <w:tc>
          <w:tcPr>
            <w:tcW w:type="dxa" w:w="1275"/>
          </w:tcPr>
          <w:p>
            <w:pPr>
              <w:spacing w:after="20" w:before="20"/>
            </w:pPr>
            <w:r/>
            <w:r>
              <w:rPr>
                <w:b w:val="0"/>
                <w:color w:val="222A33"/>
                <w:sz w:val="18"/>
              </w:rPr>
              <w:t>9</w:t>
            </w:r>
          </w:p>
        </w:tc>
        <w:tc>
          <w:tcPr>
            <w:tcW w:type="dxa" w:w="1275"/>
          </w:tcPr>
          <w:p>
            <w:pPr>
              <w:spacing w:after="20" w:before="20"/>
            </w:pPr>
            <w:r/>
            <w:r>
              <w:rPr>
                <w:b w:val="0"/>
                <w:color w:val="222A33"/>
                <w:sz w:val="18"/>
              </w:rPr>
              <w:t>50</w:t>
            </w:r>
          </w:p>
        </w:tc>
        <w:tc>
          <w:tcPr>
            <w:tcW w:type="dxa" w:w="1275"/>
          </w:tcPr>
          <w:p>
            <w:pPr>
              <w:spacing w:after="20" w:before="20"/>
            </w:pPr>
            <w:r/>
            <w:r>
              <w:rPr>
                <w:b w:val="0"/>
                <w:color w:val="222A33"/>
                <w:sz w:val="18"/>
              </w:rPr>
              <w:t>10 GB</w:t>
            </w:r>
          </w:p>
        </w:tc>
        <w:tc>
          <w:tcPr>
            <w:tcW w:type="dxa" w:w="1275"/>
          </w:tcPr>
          <w:p>
            <w:pPr>
              <w:spacing w:after="20" w:before="20"/>
            </w:pPr>
            <w:r/>
            <w:r>
              <w:rPr>
                <w:b w:val="0"/>
                <w:color w:val="222A33"/>
                <w:sz w:val="18"/>
              </w:rPr>
              <w:t>Email · 48h</w:t>
            </w:r>
          </w:p>
        </w:tc>
      </w:tr>
      <w:tr>
        <w:tc>
          <w:tcPr>
            <w:tcW w:type="dxa" w:w="1275"/>
            <w:shd w:val="clear" w:color="auto" w:fill="F4F7F6"/>
          </w:tcPr>
          <w:p>
            <w:pPr>
              <w:spacing w:after="20" w:before="20"/>
            </w:pPr>
            <w:r/>
            <w:r>
              <w:rPr>
                <w:b/>
                <w:color w:val="222A33"/>
                <w:sz w:val="18"/>
              </w:rPr>
              <w:t>Professional</w:t>
            </w:r>
          </w:p>
        </w:tc>
        <w:tc>
          <w:tcPr>
            <w:tcW w:type="dxa" w:w="1275"/>
            <w:shd w:val="clear" w:color="auto" w:fill="F4F7F6"/>
          </w:tcPr>
          <w:p>
            <w:pPr>
              <w:spacing w:after="20" w:before="20"/>
            </w:pPr>
            <w:r/>
            <w:r>
              <w:rPr>
                <w:b w:val="0"/>
                <w:color w:val="222A33"/>
                <w:sz w:val="18"/>
              </w:rPr>
              <w:t>$1,299</w:t>
            </w:r>
          </w:p>
        </w:tc>
        <w:tc>
          <w:tcPr>
            <w:tcW w:type="dxa" w:w="1275"/>
            <w:shd w:val="clear" w:color="auto" w:fill="F4F7F6"/>
          </w:tcPr>
          <w:p>
            <w:pPr>
              <w:spacing w:after="20" w:before="20"/>
            </w:pPr>
            <w:r/>
            <w:r>
              <w:rPr>
                <w:b w:val="0"/>
                <w:color w:val="222A33"/>
                <w:sz w:val="18"/>
              </w:rPr>
              <w:t>$12,990</w:t>
            </w:r>
          </w:p>
        </w:tc>
        <w:tc>
          <w:tcPr>
            <w:tcW w:type="dxa" w:w="1275"/>
            <w:shd w:val="clear" w:color="auto" w:fill="F4F7F6"/>
          </w:tcPr>
          <w:p>
            <w:pPr>
              <w:spacing w:after="20" w:before="20"/>
            </w:pPr>
            <w:r/>
            <w:r>
              <w:rPr>
                <w:b w:val="0"/>
                <w:color w:val="222A33"/>
                <w:sz w:val="18"/>
              </w:rPr>
              <w:t>25</w:t>
            </w:r>
          </w:p>
        </w:tc>
        <w:tc>
          <w:tcPr>
            <w:tcW w:type="dxa" w:w="1275"/>
            <w:shd w:val="clear" w:color="auto" w:fill="F4F7F6"/>
          </w:tcPr>
          <w:p>
            <w:pPr>
              <w:spacing w:after="20" w:before="20"/>
            </w:pPr>
            <w:r/>
            <w:r>
              <w:rPr>
                <w:b w:val="0"/>
                <w:color w:val="222A33"/>
                <w:sz w:val="18"/>
              </w:rPr>
              <w:t>Unlimited</w:t>
            </w:r>
          </w:p>
        </w:tc>
        <w:tc>
          <w:tcPr>
            <w:tcW w:type="dxa" w:w="1275"/>
            <w:shd w:val="clear" w:color="auto" w:fill="F4F7F6"/>
          </w:tcPr>
          <w:p>
            <w:pPr>
              <w:spacing w:after="20" w:before="20"/>
            </w:pPr>
            <w:r/>
            <w:r>
              <w:rPr>
                <w:b w:val="0"/>
                <w:color w:val="222A33"/>
                <w:sz w:val="18"/>
              </w:rPr>
              <w:t>500</w:t>
            </w:r>
          </w:p>
        </w:tc>
        <w:tc>
          <w:tcPr>
            <w:tcW w:type="dxa" w:w="1275"/>
            <w:shd w:val="clear" w:color="auto" w:fill="F4F7F6"/>
          </w:tcPr>
          <w:p>
            <w:pPr>
              <w:spacing w:after="20" w:before="20"/>
            </w:pPr>
            <w:r/>
            <w:r>
              <w:rPr>
                <w:b w:val="0"/>
                <w:color w:val="222A33"/>
                <w:sz w:val="18"/>
              </w:rPr>
              <w:t>100 GB</w:t>
            </w:r>
          </w:p>
        </w:tc>
        <w:tc>
          <w:tcPr>
            <w:tcW w:type="dxa" w:w="1275"/>
            <w:shd w:val="clear" w:color="auto" w:fill="F4F7F6"/>
          </w:tcPr>
          <w:p>
            <w:pPr>
              <w:spacing w:after="20" w:before="20"/>
            </w:pPr>
            <w:r/>
            <w:r>
              <w:rPr>
                <w:b w:val="0"/>
                <w:color w:val="222A33"/>
                <w:sz w:val="18"/>
              </w:rPr>
              <w:t>Priority · 24h</w:t>
            </w:r>
          </w:p>
        </w:tc>
      </w:tr>
      <w:tr>
        <w:tc>
          <w:tcPr>
            <w:tcW w:type="dxa" w:w="1275"/>
          </w:tcPr>
          <w:p>
            <w:pPr>
              <w:spacing w:after="20" w:before="20"/>
            </w:pPr>
            <w:r/>
            <w:r>
              <w:rPr>
                <w:b/>
                <w:color w:val="222A33"/>
                <w:sz w:val="18"/>
              </w:rPr>
              <w:t>Enterprise</w:t>
            </w:r>
          </w:p>
        </w:tc>
        <w:tc>
          <w:tcPr>
            <w:tcW w:type="dxa" w:w="1275"/>
          </w:tcPr>
          <w:p>
            <w:pPr>
              <w:spacing w:after="20" w:before="20"/>
            </w:pPr>
            <w:r/>
            <w:r>
              <w:rPr>
                <w:b w:val="0"/>
                <w:color w:val="222A33"/>
                <w:sz w:val="18"/>
              </w:rPr>
              <w:t>$4,999</w:t>
            </w:r>
          </w:p>
        </w:tc>
        <w:tc>
          <w:tcPr>
            <w:tcW w:type="dxa" w:w="1275"/>
          </w:tcPr>
          <w:p>
            <w:pPr>
              <w:spacing w:after="20" w:before="20"/>
            </w:pPr>
            <w:r/>
            <w:r>
              <w:rPr>
                <w:b w:val="0"/>
                <w:color w:val="222A33"/>
                <w:sz w:val="18"/>
              </w:rPr>
              <w:t>$49,990</w:t>
            </w:r>
          </w:p>
        </w:tc>
        <w:tc>
          <w:tcPr>
            <w:tcW w:type="dxa" w:w="1275"/>
          </w:tcPr>
          <w:p>
            <w:pPr>
              <w:spacing w:after="20" w:before="20"/>
            </w:pPr>
            <w:r/>
            <w:r>
              <w:rPr>
                <w:b w:val="0"/>
                <w:color w:val="222A33"/>
                <w:sz w:val="18"/>
              </w:rPr>
              <w:t>Unlimited</w:t>
            </w:r>
          </w:p>
        </w:tc>
        <w:tc>
          <w:tcPr>
            <w:tcW w:type="dxa" w:w="1275"/>
          </w:tcPr>
          <w:p>
            <w:pPr>
              <w:spacing w:after="20" w:before="20"/>
            </w:pPr>
            <w:r/>
            <w:r>
              <w:rPr>
                <w:b w:val="0"/>
                <w:color w:val="222A33"/>
                <w:sz w:val="18"/>
              </w:rPr>
              <w:t>Unlimited</w:t>
            </w:r>
          </w:p>
        </w:tc>
        <w:tc>
          <w:tcPr>
            <w:tcW w:type="dxa" w:w="1275"/>
          </w:tcPr>
          <w:p>
            <w:pPr>
              <w:spacing w:after="20" w:before="20"/>
            </w:pPr>
            <w:r/>
            <w:r>
              <w:rPr>
                <w:b w:val="0"/>
                <w:color w:val="222A33"/>
                <w:sz w:val="18"/>
              </w:rPr>
              <w:t>Unlimited</w:t>
            </w:r>
          </w:p>
        </w:tc>
        <w:tc>
          <w:tcPr>
            <w:tcW w:type="dxa" w:w="1275"/>
          </w:tcPr>
          <w:p>
            <w:pPr>
              <w:spacing w:after="20" w:before="20"/>
            </w:pPr>
            <w:r/>
            <w:r>
              <w:rPr>
                <w:b w:val="0"/>
                <w:color w:val="222A33"/>
                <w:sz w:val="18"/>
              </w:rPr>
              <w:t>Unlimited</w:t>
            </w:r>
          </w:p>
        </w:tc>
        <w:tc>
          <w:tcPr>
            <w:tcW w:type="dxa" w:w="1275"/>
          </w:tcPr>
          <w:p>
            <w:pPr>
              <w:spacing w:after="20" w:before="20"/>
            </w:pPr>
            <w:r/>
            <w:r>
              <w:rPr>
                <w:b w:val="0"/>
                <w:color w:val="222A33"/>
                <w:sz w:val="18"/>
              </w:rPr>
              <w:t>CSM · 4h · 99.9%</w:t>
            </w:r>
          </w:p>
        </w:tc>
      </w:tr>
      <w:tr>
        <w:tc>
          <w:tcPr>
            <w:tcW w:type="dxa" w:w="1275"/>
            <w:shd w:val="clear" w:color="auto" w:fill="F4F7F6"/>
          </w:tcPr>
          <w:p>
            <w:pPr>
              <w:spacing w:after="20" w:before="20"/>
            </w:pPr>
            <w:r/>
            <w:r>
              <w:rPr>
                <w:b/>
                <w:color w:val="222A33"/>
                <w:sz w:val="18"/>
              </w:rPr>
              <w:t>Bespoke</w:t>
            </w:r>
          </w:p>
        </w:tc>
        <w:tc>
          <w:tcPr>
            <w:tcW w:type="dxa" w:w="1275"/>
            <w:shd w:val="clear" w:color="auto" w:fill="F4F7F6"/>
          </w:tcPr>
          <w:p>
            <w:pPr>
              <w:spacing w:after="20" w:before="20"/>
            </w:pPr>
            <w:r/>
            <w:r>
              <w:rPr>
                <w:b w:val="0"/>
                <w:color w:val="222A33"/>
                <w:sz w:val="18"/>
              </w:rPr>
              <w:t>Contact</w:t>
            </w:r>
          </w:p>
        </w:tc>
        <w:tc>
          <w:tcPr>
            <w:tcW w:type="dxa" w:w="1275"/>
            <w:shd w:val="clear" w:color="auto" w:fill="F4F7F6"/>
          </w:tcPr>
          <w:p>
            <w:pPr>
              <w:spacing w:after="20" w:before="20"/>
            </w:pPr>
            <w:r/>
            <w:r>
              <w:rPr>
                <w:b w:val="0"/>
                <w:color w:val="222A33"/>
                <w:sz w:val="18"/>
              </w:rPr>
              <w:t>Contact</w:t>
            </w:r>
          </w:p>
        </w:tc>
        <w:tc>
          <w:tcPr>
            <w:tcW w:type="dxa" w:w="1275"/>
            <w:shd w:val="clear" w:color="auto" w:fill="F4F7F6"/>
          </w:tcPr>
          <w:p>
            <w:pPr>
              <w:spacing w:after="20" w:before="20"/>
            </w:pPr>
            <w:r/>
            <w:r>
              <w:rPr>
                <w:b w:val="0"/>
                <w:color w:val="222A33"/>
                <w:sz w:val="18"/>
              </w:rPr>
              <w:t>Unlimited</w:t>
            </w:r>
          </w:p>
        </w:tc>
        <w:tc>
          <w:tcPr>
            <w:tcW w:type="dxa" w:w="1275"/>
            <w:shd w:val="clear" w:color="auto" w:fill="F4F7F6"/>
          </w:tcPr>
          <w:p>
            <w:pPr>
              <w:spacing w:after="20" w:before="20"/>
            </w:pPr>
            <w:r/>
            <w:r>
              <w:rPr>
                <w:b w:val="0"/>
                <w:color w:val="222A33"/>
                <w:sz w:val="18"/>
              </w:rPr>
              <w:t>Unlimited</w:t>
            </w:r>
          </w:p>
        </w:tc>
        <w:tc>
          <w:tcPr>
            <w:tcW w:type="dxa" w:w="1275"/>
            <w:shd w:val="clear" w:color="auto" w:fill="F4F7F6"/>
          </w:tcPr>
          <w:p>
            <w:pPr>
              <w:spacing w:after="20" w:before="20"/>
            </w:pPr>
            <w:r/>
            <w:r>
              <w:rPr>
                <w:b w:val="0"/>
                <w:color w:val="222A33"/>
                <w:sz w:val="18"/>
              </w:rPr>
              <w:t>Unlimited</w:t>
            </w:r>
          </w:p>
        </w:tc>
        <w:tc>
          <w:tcPr>
            <w:tcW w:type="dxa" w:w="1275"/>
            <w:shd w:val="clear" w:color="auto" w:fill="F4F7F6"/>
          </w:tcPr>
          <w:p>
            <w:pPr>
              <w:spacing w:after="20" w:before="20"/>
            </w:pPr>
            <w:r/>
            <w:r>
              <w:rPr>
                <w:b w:val="0"/>
                <w:color w:val="222A33"/>
                <w:sz w:val="18"/>
              </w:rPr>
              <w:t>Unlimited</w:t>
            </w:r>
          </w:p>
        </w:tc>
        <w:tc>
          <w:tcPr>
            <w:tcW w:type="dxa" w:w="1275"/>
            <w:shd w:val="clear" w:color="auto" w:fill="F4F7F6"/>
          </w:tcPr>
          <w:p>
            <w:pPr>
              <w:spacing w:after="20" w:before="20"/>
            </w:pPr>
            <w:r/>
            <w:r>
              <w:rPr>
                <w:b w:val="0"/>
                <w:color w:val="222A33"/>
                <w:sz w:val="18"/>
              </w:rPr>
              <w:t>CSM · 1h · 99.95%</w:t>
            </w:r>
          </w:p>
        </w:tc>
      </w:tr>
    </w:tbl>
    <w:p>
      <w:pPr>
        <w:spacing w:after="60"/>
      </w:pPr>
      <w:r>
        <w:rPr>
          <w:b w:val="0"/>
          <w:i w:val="0"/>
          <w:color w:val="222A33"/>
          <w:sz w:val="21"/>
        </w:rPr>
        <w:t>Feature access is governed by 37 feature flags resolved per plan. Foundation grants 11 (governance + security); Professional adds 14 (finance, partner vetting, HR, AI assistant); Enterprise grants all 37.</w:t>
      </w:r>
    </w:p>
    <w:p>
      <w:pPr>
        <w:spacing w:after="40"/>
      </w:pPr>
      <w:r>
        <w:rPr>
          <w:b w:val="0"/>
          <w:i/>
          <w:color w:val="5A6675"/>
          <w:sz w:val="19"/>
        </w:rPr>
        <w:t>Housekeeping note: three plan definitions exist in the repo and disagree — the seed (scripts/seedAdminCatalogue.js) hardcodes annual prices $2,990 / $12,990 / $49,990, while the template layer (src/utils/defaultPlans.js) derives them at a 10% discount as $3,229 / $14,029 / $53,989, and a legacy seed (scripts/initRouterDB.js) carries stale free/standard/premium/enterprise plans. These must be reconciled to a single source of truth as part of this update.</w:t>
      </w:r>
    </w:p>
    <w:p>
      <w:pPr>
        <w:spacing w:before="240" w:after="80"/>
        <w:pBdr>
          <w:bottom w:val="single" w:sz="12" w:space="3" w:color="1F8A7E"/>
        </w:pBdr>
      </w:pPr>
      <w:r>
        <w:rPr>
          <w:b/>
          <w:color w:val="0B2545"/>
          <w:sz w:val="27"/>
        </w:rPr>
        <w:t>3.  What is not in the documented tiering</w:t>
      </w:r>
    </w:p>
    <w:p>
      <w:pPr>
        <w:spacing w:before="160" w:after="40"/>
      </w:pPr>
      <w:r>
        <w:rPr>
          <w:b/>
          <w:color w:val="1F8A7E"/>
          <w:sz w:val="22"/>
        </w:rPr>
        <w:t>3.1  Shipped modules with no feature flag at all</w:t>
      </w:r>
    </w:p>
    <w:p>
      <w:pPr>
        <w:spacing w:after="60"/>
      </w:pPr>
      <w:r>
        <w:rPr>
          <w:b w:val="0"/>
          <w:i w:val="0"/>
          <w:color w:val="222A33"/>
          <w:sz w:val="21"/>
        </w:rPr>
        <w:t>These capabilities are live (or about to ship) but are not represented in the flag catalogue, so they are either open to everyone or ungoverned by tier. Each needs a flag and a tier home.</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val="clear" w:color="auto" w:fill="1F8A7E"/>
          </w:tcPr>
          <w:p>
            <w:pPr>
              <w:spacing w:after="20" w:before="20"/>
            </w:pPr>
            <w:r/>
            <w:r>
              <w:rPr>
                <w:b/>
                <w:color w:val="FFFFFF"/>
                <w:sz w:val="18"/>
              </w:rPr>
              <w:t>Capability</w:t>
            </w:r>
          </w:p>
        </w:tc>
        <w:tc>
          <w:tcPr>
            <w:tcW w:type="dxa" w:w="4876"/>
            <w:shd w:val="clear" w:color="auto" w:fill="1F8A7E"/>
          </w:tcPr>
          <w:p>
            <w:pPr>
              <w:spacing w:after="20" w:before="20"/>
            </w:pPr>
            <w:r/>
            <w:r>
              <w:rPr>
                <w:b/>
                <w:color w:val="FFFFFF"/>
                <w:sz w:val="18"/>
              </w:rPr>
              <w:t>What it is</w:t>
            </w:r>
          </w:p>
        </w:tc>
        <w:tc>
          <w:tcPr>
            <w:tcW w:type="dxa" w:w="2381"/>
            <w:shd w:val="clear" w:color="auto" w:fill="1F8A7E"/>
          </w:tcPr>
          <w:p>
            <w:pPr>
              <w:spacing w:after="20" w:before="20"/>
            </w:pPr>
            <w:r/>
            <w:r>
              <w:rPr>
                <w:b/>
                <w:color w:val="FFFFFF"/>
                <w:sz w:val="18"/>
              </w:rPr>
              <w:t>Status today</w:t>
            </w:r>
          </w:p>
        </w:tc>
      </w:tr>
      <w:tr>
        <w:tc>
          <w:tcPr>
            <w:tcW w:type="dxa" w:w="2381"/>
          </w:tcPr>
          <w:p>
            <w:pPr>
              <w:spacing w:after="20" w:before="20"/>
            </w:pPr>
            <w:r/>
            <w:r>
              <w:rPr>
                <w:b/>
                <w:color w:val="222A33"/>
                <w:sz w:val="18"/>
              </w:rPr>
              <w:t>Mobile app (iOS &amp; Android)</w:t>
            </w:r>
          </w:p>
        </w:tc>
        <w:tc>
          <w:tcPr>
            <w:tcW w:type="dxa" w:w="4876"/>
          </w:tcPr>
          <w:p>
            <w:pPr>
              <w:spacing w:after="20" w:before="20"/>
            </w:pPr>
            <w:r/>
            <w:r>
              <w:rPr>
                <w:b w:val="0"/>
                <w:color w:val="222A33"/>
                <w:sz w:val="18"/>
              </w:rPr>
              <w:t>Companion app: approvals, registers, chat, meetings, training, expenses</w:t>
            </w:r>
          </w:p>
        </w:tc>
        <w:tc>
          <w:tcPr>
            <w:tcW w:type="dxa" w:w="2381"/>
          </w:tcPr>
          <w:p>
            <w:pPr>
              <w:spacing w:after="20" w:before="20"/>
            </w:pPr>
            <w:r/>
            <w:r>
              <w:rPr>
                <w:b w:val="0"/>
                <w:color w:val="222A33"/>
                <w:sz w:val="18"/>
              </w:rPr>
              <w:t>No flag — new product</w:t>
            </w:r>
          </w:p>
        </w:tc>
      </w:tr>
      <w:tr>
        <w:tc>
          <w:tcPr>
            <w:tcW w:type="dxa" w:w="2381"/>
            <w:shd w:val="clear" w:color="auto" w:fill="F4F7F6"/>
          </w:tcPr>
          <w:p>
            <w:pPr>
              <w:spacing w:after="20" w:before="20"/>
            </w:pPr>
            <w:r/>
            <w:r>
              <w:rPr>
                <w:b/>
                <w:color w:val="222A33"/>
                <w:sz w:val="18"/>
              </w:rPr>
              <w:t>Team Chat &amp; channels</w:t>
            </w:r>
          </w:p>
        </w:tc>
        <w:tc>
          <w:tcPr>
            <w:tcW w:type="dxa" w:w="4876"/>
            <w:shd w:val="clear" w:color="auto" w:fill="F4F7F6"/>
          </w:tcPr>
          <w:p>
            <w:pPr>
              <w:spacing w:after="20" w:before="20"/>
            </w:pPr>
            <w:r/>
            <w:r>
              <w:rPr>
                <w:b w:val="0"/>
                <w:color w:val="222A33"/>
                <w:sz w:val="18"/>
              </w:rPr>
              <w:t>In-app messaging, channels, mentions, threads, read receipts</w:t>
            </w:r>
          </w:p>
        </w:tc>
        <w:tc>
          <w:tcPr>
            <w:tcW w:type="dxa" w:w="2381"/>
            <w:shd w:val="clear" w:color="auto" w:fill="F4F7F6"/>
          </w:tcPr>
          <w:p>
            <w:pPr>
              <w:spacing w:after="20" w:before="20"/>
            </w:pPr>
            <w:r/>
            <w:r>
              <w:rPr>
                <w:b w:val="0"/>
                <w:color w:val="222A33"/>
                <w:sz w:val="18"/>
              </w:rPr>
              <w:t>No flag — ungated</w:t>
            </w:r>
          </w:p>
        </w:tc>
      </w:tr>
      <w:tr>
        <w:tc>
          <w:tcPr>
            <w:tcW w:type="dxa" w:w="2381"/>
          </w:tcPr>
          <w:p>
            <w:pPr>
              <w:spacing w:after="20" w:before="20"/>
            </w:pPr>
            <w:r/>
            <w:r>
              <w:rPr>
                <w:b/>
                <w:color w:val="222A33"/>
                <w:sz w:val="18"/>
              </w:rPr>
              <w:t>Policy Template Marketplace</w:t>
            </w:r>
          </w:p>
        </w:tc>
        <w:tc>
          <w:tcPr>
            <w:tcW w:type="dxa" w:w="4876"/>
          </w:tcPr>
          <w:p>
            <w:pPr>
              <w:spacing w:after="20" w:before="20"/>
            </w:pPr>
            <w:r/>
            <w:r>
              <w:rPr>
                <w:b w:val="0"/>
                <w:color w:val="222A33"/>
                <w:sz w:val="18"/>
              </w:rPr>
              <w:t>Buy individual policy templates (one-off Stripe purchases)</w:t>
            </w:r>
          </w:p>
        </w:tc>
        <w:tc>
          <w:tcPr>
            <w:tcW w:type="dxa" w:w="2381"/>
          </w:tcPr>
          <w:p>
            <w:pPr>
              <w:spacing w:after="20" w:before="20"/>
            </w:pPr>
            <w:r/>
            <w:r>
              <w:rPr>
                <w:b w:val="0"/>
                <w:color w:val="222A33"/>
                <w:sz w:val="18"/>
              </w:rPr>
              <w:t>À-la-carte; outside tiers</w:t>
            </w:r>
          </w:p>
        </w:tc>
      </w:tr>
      <w:tr>
        <w:tc>
          <w:tcPr>
            <w:tcW w:type="dxa" w:w="2381"/>
            <w:shd w:val="clear" w:color="auto" w:fill="F4F7F6"/>
          </w:tcPr>
          <w:p>
            <w:pPr>
              <w:spacing w:after="20" w:before="20"/>
            </w:pPr>
            <w:r/>
            <w:r>
              <w:rPr>
                <w:b/>
                <w:color w:val="222A33"/>
                <w:sz w:val="18"/>
              </w:rPr>
              <w:t>Inquiry Register</w:t>
            </w:r>
          </w:p>
        </w:tc>
        <w:tc>
          <w:tcPr>
            <w:tcW w:type="dxa" w:w="4876"/>
            <w:shd w:val="clear" w:color="auto" w:fill="F4F7F6"/>
          </w:tcPr>
          <w:p>
            <w:pPr>
              <w:spacing w:after="20" w:before="20"/>
            </w:pPr>
            <w:r/>
            <w:r>
              <w:rPr>
                <w:b w:val="0"/>
                <w:color w:val="222A33"/>
                <w:sz w:val="18"/>
              </w:rPr>
              <w:t>Configurable inquiry templates with an approval workflow</w:t>
            </w:r>
          </w:p>
        </w:tc>
        <w:tc>
          <w:tcPr>
            <w:tcW w:type="dxa" w:w="2381"/>
            <w:shd w:val="clear" w:color="auto" w:fill="F4F7F6"/>
          </w:tcPr>
          <w:p>
            <w:pPr>
              <w:spacing w:after="20" w:before="20"/>
            </w:pPr>
            <w:r/>
            <w:r>
              <w:rPr>
                <w:b w:val="0"/>
                <w:color w:val="222A33"/>
                <w:sz w:val="18"/>
              </w:rPr>
              <w:t>No flag — ungated</w:t>
            </w:r>
          </w:p>
        </w:tc>
      </w:tr>
      <w:tr>
        <w:tc>
          <w:tcPr>
            <w:tcW w:type="dxa" w:w="2381"/>
          </w:tcPr>
          <w:p>
            <w:pPr>
              <w:spacing w:after="20" w:before="20"/>
            </w:pPr>
            <w:r/>
            <w:r>
              <w:rPr>
                <w:b/>
                <w:color w:val="222A33"/>
                <w:sz w:val="18"/>
              </w:rPr>
              <w:t>Calendar &amp; reminders</w:t>
            </w:r>
          </w:p>
        </w:tc>
        <w:tc>
          <w:tcPr>
            <w:tcW w:type="dxa" w:w="4876"/>
          </w:tcPr>
          <w:p>
            <w:pPr>
              <w:spacing w:after="20" w:before="20"/>
            </w:pPr>
            <w:r/>
            <w:r>
              <w:rPr>
                <w:b w:val="0"/>
                <w:color w:val="222A33"/>
                <w:sz w:val="18"/>
              </w:rPr>
              <w:t>Org calendar, due/expiring reminders, personal events</w:t>
            </w:r>
          </w:p>
        </w:tc>
        <w:tc>
          <w:tcPr>
            <w:tcW w:type="dxa" w:w="2381"/>
          </w:tcPr>
          <w:p>
            <w:pPr>
              <w:spacing w:after="20" w:before="20"/>
            </w:pPr>
            <w:r/>
            <w:r>
              <w:rPr>
                <w:b w:val="0"/>
                <w:color w:val="222A33"/>
                <w:sz w:val="18"/>
              </w:rPr>
              <w:t>No flag — ungated</w:t>
            </w:r>
          </w:p>
        </w:tc>
      </w:tr>
      <w:tr>
        <w:tc>
          <w:tcPr>
            <w:tcW w:type="dxa" w:w="2381"/>
            <w:shd w:val="clear" w:color="auto" w:fill="F4F7F6"/>
          </w:tcPr>
          <w:p>
            <w:pPr>
              <w:spacing w:after="20" w:before="20"/>
            </w:pPr>
            <w:r/>
            <w:r>
              <w:rPr>
                <w:b/>
                <w:color w:val="222A33"/>
                <w:sz w:val="18"/>
              </w:rPr>
              <w:t>Supplier Register</w:t>
            </w:r>
          </w:p>
        </w:tc>
        <w:tc>
          <w:tcPr>
            <w:tcW w:type="dxa" w:w="4876"/>
            <w:shd w:val="clear" w:color="auto" w:fill="F4F7F6"/>
          </w:tcPr>
          <w:p>
            <w:pPr>
              <w:spacing w:after="20" w:before="20"/>
            </w:pPr>
            <w:r/>
            <w:r>
              <w:rPr>
                <w:b w:val="0"/>
                <w:color w:val="222A33"/>
                <w:sz w:val="18"/>
              </w:rPr>
              <w:t>Supplier records feeding expense/invoice vetting</w:t>
            </w:r>
          </w:p>
        </w:tc>
        <w:tc>
          <w:tcPr>
            <w:tcW w:type="dxa" w:w="2381"/>
            <w:shd w:val="clear" w:color="auto" w:fill="F4F7F6"/>
          </w:tcPr>
          <w:p>
            <w:pPr>
              <w:spacing w:after="20" w:before="20"/>
            </w:pPr>
            <w:r/>
            <w:r>
              <w:rPr>
                <w:b w:val="0"/>
                <w:color w:val="222A33"/>
                <w:sz w:val="18"/>
              </w:rPr>
              <w:t>No flag — ungated</w:t>
            </w:r>
          </w:p>
        </w:tc>
      </w:tr>
      <w:tr>
        <w:tc>
          <w:tcPr>
            <w:tcW w:type="dxa" w:w="2381"/>
          </w:tcPr>
          <w:p>
            <w:pPr>
              <w:spacing w:after="20" w:before="20"/>
            </w:pPr>
            <w:r/>
            <w:r>
              <w:rPr>
                <w:b/>
                <w:color w:val="222A33"/>
                <w:sz w:val="18"/>
              </w:rPr>
              <w:t>Support Tickets</w:t>
            </w:r>
          </w:p>
        </w:tc>
        <w:tc>
          <w:tcPr>
            <w:tcW w:type="dxa" w:w="4876"/>
          </w:tcPr>
          <w:p>
            <w:pPr>
              <w:spacing w:after="20" w:before="20"/>
            </w:pPr>
            <w:r/>
            <w:r>
              <w:rPr>
                <w:b w:val="0"/>
                <w:color w:val="222A33"/>
                <w:sz w:val="18"/>
              </w:rPr>
              <w:t>In-app support ticketing to Calcite</w:t>
            </w:r>
          </w:p>
        </w:tc>
        <w:tc>
          <w:tcPr>
            <w:tcW w:type="dxa" w:w="2381"/>
          </w:tcPr>
          <w:p>
            <w:pPr>
              <w:spacing w:after="20" w:before="20"/>
            </w:pPr>
            <w:r/>
            <w:r>
              <w:rPr>
                <w:b w:val="0"/>
                <w:color w:val="222A33"/>
                <w:sz w:val="18"/>
              </w:rPr>
              <w:t>No flag — ungated</w:t>
            </w:r>
          </w:p>
        </w:tc>
      </w:tr>
      <w:tr>
        <w:tc>
          <w:tcPr>
            <w:tcW w:type="dxa" w:w="2381"/>
            <w:shd w:val="clear" w:color="auto" w:fill="F4F7F6"/>
          </w:tcPr>
          <w:p>
            <w:pPr>
              <w:spacing w:after="20" w:before="20"/>
            </w:pPr>
            <w:r/>
            <w:r>
              <w:rPr>
                <w:b/>
                <w:color w:val="222A33"/>
                <w:sz w:val="18"/>
              </w:rPr>
              <w:t>Push notifications</w:t>
            </w:r>
          </w:p>
        </w:tc>
        <w:tc>
          <w:tcPr>
            <w:tcW w:type="dxa" w:w="4876"/>
            <w:shd w:val="clear" w:color="auto" w:fill="F4F7F6"/>
          </w:tcPr>
          <w:p>
            <w:pPr>
              <w:spacing w:after="20" w:before="20"/>
            </w:pPr>
            <w:r/>
            <w:r>
              <w:rPr>
                <w:b w:val="0"/>
                <w:color w:val="222A33"/>
                <w:sz w:val="18"/>
              </w:rPr>
              <w:t>Mobile/web push for approvals, mentions, reminders</w:t>
            </w:r>
          </w:p>
        </w:tc>
        <w:tc>
          <w:tcPr>
            <w:tcW w:type="dxa" w:w="2381"/>
            <w:shd w:val="clear" w:color="auto" w:fill="F4F7F6"/>
          </w:tcPr>
          <w:p>
            <w:pPr>
              <w:spacing w:after="20" w:before="20"/>
            </w:pPr>
            <w:r/>
            <w:r>
              <w:rPr>
                <w:b w:val="0"/>
                <w:color w:val="222A33"/>
                <w:sz w:val="18"/>
              </w:rPr>
              <w:t>No flag — delivery channel</w:t>
            </w:r>
          </w:p>
        </w:tc>
      </w:tr>
    </w:tbl>
    <w:p>
      <w:pPr>
        <w:spacing w:before="160" w:after="40"/>
      </w:pPr>
      <w:r>
        <w:rPr>
          <w:b/>
          <w:color w:val="1F8A7E"/>
          <w:sz w:val="22"/>
        </w:rPr>
        <w:t>3.2  Shipped modules bundled into the wrong (lower) tier</w:t>
      </w:r>
    </w:p>
    <w:p>
      <w:pPr>
        <w:spacing w:after="60"/>
      </w:pPr>
      <w:r>
        <w:rPr>
          <w:b w:val="0"/>
          <w:i w:val="0"/>
          <w:color w:val="222A33"/>
          <w:sz w:val="21"/>
        </w:rPr>
        <w:t>These are revenue-relevant modules currently riding on an existing flag that places them too low — a pricing leak. The sidebar mapping in code shows them today as: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3061"/>
            <w:shd w:val="clear" w:color="auto" w:fill="1F8A7E"/>
          </w:tcPr>
          <w:p>
            <w:pPr>
              <w:spacing w:after="20" w:before="20"/>
            </w:pPr>
            <w:r/>
            <w:r>
              <w:rPr>
                <w:b/>
                <w:color w:val="FFFFFF"/>
                <w:sz w:val="18"/>
              </w:rPr>
              <w:t>Module</w:t>
            </w:r>
          </w:p>
        </w:tc>
        <w:tc>
          <w:tcPr>
            <w:tcW w:type="dxa" w:w="2268"/>
            <w:shd w:val="clear" w:color="auto" w:fill="1F8A7E"/>
          </w:tcPr>
          <w:p>
            <w:pPr>
              <w:spacing w:after="20" w:before="20"/>
            </w:pPr>
            <w:r/>
            <w:r>
              <w:rPr>
                <w:b/>
                <w:color w:val="FFFFFF"/>
                <w:sz w:val="18"/>
              </w:rPr>
              <w:t>Currently rides on</w:t>
            </w:r>
          </w:p>
        </w:tc>
        <w:tc>
          <w:tcPr>
            <w:tcW w:type="dxa" w:w="2041"/>
            <w:shd w:val="clear" w:color="auto" w:fill="1F8A7E"/>
          </w:tcPr>
          <w:p>
            <w:pPr>
              <w:spacing w:after="20" w:before="20"/>
            </w:pPr>
            <w:r/>
            <w:r>
              <w:rPr>
                <w:b/>
                <w:color w:val="FFFFFF"/>
                <w:sz w:val="18"/>
              </w:rPr>
              <w:t>Effective tier today</w:t>
            </w:r>
          </w:p>
        </w:tc>
        <w:tc>
          <w:tcPr>
            <w:tcW w:type="dxa" w:w="2268"/>
            <w:shd w:val="clear" w:color="auto" w:fill="1F8A7E"/>
          </w:tcPr>
          <w:p>
            <w:pPr>
              <w:spacing w:after="20" w:before="20"/>
            </w:pPr>
            <w:r/>
            <w:r>
              <w:rPr>
                <w:b/>
                <w:color w:val="FFFFFF"/>
                <w:sz w:val="18"/>
              </w:rPr>
              <w:t>Issue</w:t>
            </w:r>
          </w:p>
        </w:tc>
      </w:tr>
      <w:tr>
        <w:tc>
          <w:tcPr>
            <w:tcW w:type="dxa" w:w="3061"/>
            <w:shd w:val="clear" w:color="auto" w:fill="FBF3E6"/>
          </w:tcPr>
          <w:p>
            <w:pPr>
              <w:spacing w:after="20" w:before="20"/>
            </w:pPr>
            <w:r/>
            <w:r>
              <w:rPr>
                <w:b/>
                <w:color w:val="222A33"/>
                <w:sz w:val="18"/>
              </w:rPr>
              <w:t>Grants &amp; Donors / Donations CRM / Funding agreements</w:t>
            </w:r>
          </w:p>
        </w:tc>
        <w:tc>
          <w:tcPr>
            <w:tcW w:type="dxa" w:w="2268"/>
            <w:shd w:val="clear" w:color="auto" w:fill="FBF3E6"/>
          </w:tcPr>
          <w:p>
            <w:pPr>
              <w:spacing w:after="20" w:before="20"/>
            </w:pPr>
            <w:r/>
            <w:r>
              <w:rPr>
                <w:b w:val="0"/>
                <w:color w:val="222A33"/>
                <w:sz w:val="18"/>
              </w:rPr>
              <w:t>governance.organisation</w:t>
            </w:r>
          </w:p>
        </w:tc>
        <w:tc>
          <w:tcPr>
            <w:tcW w:type="dxa" w:w="2041"/>
            <w:shd w:val="clear" w:color="auto" w:fill="FBF3E6"/>
          </w:tcPr>
          <w:p>
            <w:pPr>
              <w:spacing w:after="20" w:before="20"/>
            </w:pPr>
            <w:r/>
            <w:r>
              <w:rPr>
                <w:b w:val="0"/>
                <w:color w:val="222A33"/>
                <w:sz w:val="18"/>
              </w:rPr>
              <w:t>Foundation (all tiers)</w:t>
            </w:r>
          </w:p>
        </w:tc>
        <w:tc>
          <w:tcPr>
            <w:tcW w:type="dxa" w:w="2268"/>
            <w:shd w:val="clear" w:color="auto" w:fill="FBF3E6"/>
          </w:tcPr>
          <w:p>
            <w:pPr>
              <w:spacing w:after="20" w:before="20"/>
            </w:pPr>
            <w:r/>
            <w:r>
              <w:rPr>
                <w:b w:val="0"/>
                <w:color w:val="222A33"/>
                <w:sz w:val="18"/>
              </w:rPr>
              <w:t>High-value fundraising free on cheapest tier</w:t>
            </w:r>
          </w:p>
        </w:tc>
      </w:tr>
      <w:tr>
        <w:tc>
          <w:tcPr>
            <w:tcW w:type="dxa" w:w="3061"/>
            <w:shd w:val="clear" w:color="auto" w:fill="FBF3E6"/>
          </w:tcPr>
          <w:p>
            <w:pPr>
              <w:spacing w:after="20" w:before="20"/>
            </w:pPr>
            <w:r/>
            <w:r>
              <w:rPr>
                <w:b/>
                <w:color w:val="222A33"/>
                <w:sz w:val="18"/>
              </w:rPr>
              <w:t>Project &amp; Grant Delivery (project register, delivery changes)</w:t>
            </w:r>
          </w:p>
        </w:tc>
        <w:tc>
          <w:tcPr>
            <w:tcW w:type="dxa" w:w="2268"/>
            <w:shd w:val="clear" w:color="auto" w:fill="FBF3E6"/>
          </w:tcPr>
          <w:p>
            <w:pPr>
              <w:spacing w:after="20" w:before="20"/>
            </w:pPr>
            <w:r/>
            <w:r>
              <w:rPr>
                <w:b w:val="0"/>
                <w:color w:val="222A33"/>
                <w:sz w:val="18"/>
              </w:rPr>
              <w:t>governance.organisation</w:t>
            </w:r>
          </w:p>
        </w:tc>
        <w:tc>
          <w:tcPr>
            <w:tcW w:type="dxa" w:w="2041"/>
            <w:shd w:val="clear" w:color="auto" w:fill="FBF3E6"/>
          </w:tcPr>
          <w:p>
            <w:pPr>
              <w:spacing w:after="20" w:before="20"/>
            </w:pPr>
            <w:r/>
            <w:r>
              <w:rPr>
                <w:b w:val="0"/>
                <w:color w:val="222A33"/>
                <w:sz w:val="18"/>
              </w:rPr>
              <w:t>Foundation (all tiers)</w:t>
            </w:r>
          </w:p>
        </w:tc>
        <w:tc>
          <w:tcPr>
            <w:tcW w:type="dxa" w:w="2268"/>
            <w:shd w:val="clear" w:color="auto" w:fill="FBF3E6"/>
          </w:tcPr>
          <w:p>
            <w:pPr>
              <w:spacing w:after="20" w:before="20"/>
            </w:pPr>
            <w:r/>
            <w:r>
              <w:rPr>
                <w:b w:val="0"/>
                <w:color w:val="222A33"/>
                <w:sz w:val="18"/>
              </w:rPr>
              <w:t>Premium delivery module free on Foundation</w:t>
            </w:r>
          </w:p>
        </w:tc>
      </w:tr>
      <w:tr>
        <w:tc>
          <w:tcPr>
            <w:tcW w:type="dxa" w:w="3061"/>
            <w:shd w:val="clear" w:color="auto" w:fill="FBF3E6"/>
          </w:tcPr>
          <w:p>
            <w:pPr>
              <w:spacing w:after="20" w:before="20"/>
            </w:pPr>
            <w:r/>
            <w:r>
              <w:rPr>
                <w:b/>
                <w:color w:val="222A33"/>
                <w:sz w:val="18"/>
              </w:rPr>
              <w:t>Marketing / Social Media Campaigns</w:t>
            </w:r>
          </w:p>
        </w:tc>
        <w:tc>
          <w:tcPr>
            <w:tcW w:type="dxa" w:w="2268"/>
            <w:shd w:val="clear" w:color="auto" w:fill="FBF3E6"/>
          </w:tcPr>
          <w:p>
            <w:pPr>
              <w:spacing w:after="20" w:before="20"/>
            </w:pPr>
            <w:r/>
            <w:r>
              <w:rPr>
                <w:b w:val="0"/>
                <w:color w:val="222A33"/>
                <w:sz w:val="18"/>
              </w:rPr>
              <w:t>governance.organisation</w:t>
            </w:r>
          </w:p>
        </w:tc>
        <w:tc>
          <w:tcPr>
            <w:tcW w:type="dxa" w:w="2041"/>
            <w:shd w:val="clear" w:color="auto" w:fill="FBF3E6"/>
          </w:tcPr>
          <w:p>
            <w:pPr>
              <w:spacing w:after="20" w:before="20"/>
            </w:pPr>
            <w:r/>
            <w:r>
              <w:rPr>
                <w:b w:val="0"/>
                <w:color w:val="222A33"/>
                <w:sz w:val="18"/>
              </w:rPr>
              <w:t>Foundation (all tiers)</w:t>
            </w:r>
          </w:p>
        </w:tc>
        <w:tc>
          <w:tcPr>
            <w:tcW w:type="dxa" w:w="2268"/>
            <w:shd w:val="clear" w:color="auto" w:fill="FBF3E6"/>
          </w:tcPr>
          <w:p>
            <w:pPr>
              <w:spacing w:after="20" w:before="20"/>
            </w:pPr>
            <w:r/>
            <w:r>
              <w:rPr>
                <w:b w:val="0"/>
                <w:color w:val="222A33"/>
                <w:sz w:val="18"/>
              </w:rPr>
              <w:t>Marketing suite free on Foundation</w:t>
            </w:r>
          </w:p>
        </w:tc>
      </w:tr>
      <w:tr>
        <w:tc>
          <w:tcPr>
            <w:tcW w:type="dxa" w:w="3061"/>
            <w:shd w:val="clear" w:color="auto" w:fill="F4F7F6"/>
          </w:tcPr>
          <w:p>
            <w:pPr>
              <w:spacing w:after="20" w:before="20"/>
            </w:pPr>
            <w:r/>
            <w:r>
              <w:rPr>
                <w:b/>
                <w:color w:val="222A33"/>
                <w:sz w:val="18"/>
              </w:rPr>
              <w:t>Volunteer Management</w:t>
            </w:r>
          </w:p>
        </w:tc>
        <w:tc>
          <w:tcPr>
            <w:tcW w:type="dxa" w:w="2268"/>
            <w:shd w:val="clear" w:color="auto" w:fill="F4F7F6"/>
          </w:tcPr>
          <w:p>
            <w:pPr>
              <w:spacing w:after="20" w:before="20"/>
            </w:pPr>
            <w:r/>
            <w:r>
              <w:rPr>
                <w:b w:val="0"/>
                <w:color w:val="222A33"/>
                <w:sz w:val="18"/>
              </w:rPr>
              <w:t>people.hr</w:t>
            </w:r>
          </w:p>
        </w:tc>
        <w:tc>
          <w:tcPr>
            <w:tcW w:type="dxa" w:w="2041"/>
            <w:shd w:val="clear" w:color="auto" w:fill="F4F7F6"/>
          </w:tcPr>
          <w:p>
            <w:pPr>
              <w:spacing w:after="20" w:before="20"/>
            </w:pPr>
            <w:r/>
            <w:r>
              <w:rPr>
                <w:b w:val="0"/>
                <w:color w:val="222A33"/>
                <w:sz w:val="18"/>
              </w:rPr>
              <w:t>Professional</w:t>
            </w:r>
          </w:p>
        </w:tc>
        <w:tc>
          <w:tcPr>
            <w:tcW w:type="dxa" w:w="2268"/>
            <w:shd w:val="clear" w:color="auto" w:fill="F4F7F6"/>
          </w:tcPr>
          <w:p>
            <w:pPr>
              <w:spacing w:after="20" w:before="20"/>
            </w:pPr>
            <w:r/>
            <w:r>
              <w:rPr>
                <w:b w:val="0"/>
                <w:color w:val="222A33"/>
                <w:sz w:val="18"/>
              </w:rPr>
              <w:t>Bundled inside full HR; no mid-tier path</w:t>
            </w:r>
          </w:p>
        </w:tc>
      </w:tr>
      <w:tr>
        <w:tc>
          <w:tcPr>
            <w:tcW w:type="dxa" w:w="3061"/>
          </w:tcPr>
          <w:p>
            <w:pPr>
              <w:spacing w:after="20" w:before="20"/>
            </w:pPr>
            <w:r/>
            <w:r>
              <w:rPr>
                <w:b/>
                <w:color w:val="222A33"/>
                <w:sz w:val="18"/>
              </w:rPr>
              <w:t>Asset Register</w:t>
            </w:r>
          </w:p>
        </w:tc>
        <w:tc>
          <w:tcPr>
            <w:tcW w:type="dxa" w:w="2268"/>
          </w:tcPr>
          <w:p>
            <w:pPr>
              <w:spacing w:after="20" w:before="20"/>
            </w:pPr>
            <w:r/>
            <w:r>
              <w:rPr>
                <w:b w:val="0"/>
                <w:color w:val="222A33"/>
                <w:sz w:val="18"/>
              </w:rPr>
              <w:t>it.register</w:t>
            </w:r>
          </w:p>
        </w:tc>
        <w:tc>
          <w:tcPr>
            <w:tcW w:type="dxa" w:w="2041"/>
          </w:tcPr>
          <w:p>
            <w:pPr>
              <w:spacing w:after="20" w:before="20"/>
            </w:pPr>
            <w:r/>
            <w:r>
              <w:rPr>
                <w:b w:val="0"/>
                <w:color w:val="222A33"/>
                <w:sz w:val="18"/>
              </w:rPr>
              <w:t>Professional</w:t>
            </w:r>
          </w:p>
        </w:tc>
        <w:tc>
          <w:tcPr>
            <w:tcW w:type="dxa" w:w="2268"/>
          </w:tcPr>
          <w:p>
            <w:pPr>
              <w:spacing w:after="20" w:before="20"/>
            </w:pPr>
            <w:r/>
            <w:r>
              <w:rPr>
                <w:b w:val="0"/>
                <w:color w:val="222A33"/>
                <w:sz w:val="18"/>
              </w:rPr>
              <w:t>Acceptable, but worth its own flag for clarity</w:t>
            </w:r>
          </w:p>
        </w:tc>
      </w:tr>
    </w:tbl>
    <w:p>
      <w:pPr>
        <w:spacing w:before="240" w:after="80"/>
        <w:pBdr>
          <w:bottom w:val="single" w:sz="12" w:space="3" w:color="1F8A7E"/>
        </w:pBdr>
      </w:pPr>
      <w:r>
        <w:rPr>
          <w:b/>
          <w:color w:val="0B2545"/>
          <w:sz w:val="27"/>
        </w:rPr>
        <w:t>4.  Proposed feature-flag additions</w:t>
      </w:r>
    </w:p>
    <w:p>
      <w:pPr>
        <w:spacing w:after="60"/>
      </w:pPr>
      <w:r>
        <w:rPr>
          <w:b w:val="0"/>
          <w:i w:val="0"/>
          <w:color w:val="222A33"/>
          <w:sz w:val="21"/>
        </w:rPr>
        <w:t>To tier the above cleanly, add the following flags to the catalogue. F = Foundation, G = Growth (new), P = Professional, E = Enterprise. (Bespoke inherits the full set.)</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948"/>
            <w:shd w:val="clear" w:color="auto" w:fill="1F8A7E"/>
          </w:tcPr>
          <w:p>
            <w:pPr>
              <w:spacing w:after="20" w:before="20"/>
            </w:pPr>
            <w:r/>
            <w:r>
              <w:rPr>
                <w:b/>
                <w:color w:val="FFFFFF"/>
                <w:sz w:val="18"/>
              </w:rPr>
              <w:t>New flag code</w:t>
            </w:r>
          </w:p>
        </w:tc>
        <w:tc>
          <w:tcPr>
            <w:tcW w:type="dxa" w:w="3061"/>
            <w:shd w:val="clear" w:color="auto" w:fill="1F8A7E"/>
          </w:tcPr>
          <w:p>
            <w:pPr>
              <w:spacing w:after="20" w:before="20"/>
            </w:pPr>
            <w:r/>
            <w:r>
              <w:rPr>
                <w:b/>
                <w:color w:val="FFFFFF"/>
                <w:sz w:val="18"/>
              </w:rPr>
              <w:t>Customer-facing name</w:t>
            </w:r>
          </w:p>
        </w:tc>
        <w:tc>
          <w:tcPr>
            <w:tcW w:type="dxa" w:w="1701"/>
            <w:shd w:val="clear" w:color="auto" w:fill="1F8A7E"/>
          </w:tcPr>
          <w:p>
            <w:pPr>
              <w:spacing w:after="20" w:before="20"/>
            </w:pPr>
            <w:r/>
            <w:r>
              <w:rPr>
                <w:b/>
                <w:color w:val="FFFFFF"/>
                <w:sz w:val="18"/>
              </w:rPr>
              <w:t>Category</w:t>
            </w:r>
          </w:p>
        </w:tc>
        <w:tc>
          <w:tcPr>
            <w:tcW w:type="dxa" w:w="1928"/>
            <w:shd w:val="clear" w:color="auto" w:fill="1F8A7E"/>
          </w:tcPr>
          <w:p>
            <w:pPr>
              <w:spacing w:after="20" w:before="20"/>
            </w:pPr>
            <w:r/>
            <w:r>
              <w:rPr>
                <w:b/>
                <w:color w:val="FFFFFF"/>
                <w:sz w:val="18"/>
              </w:rPr>
              <w:t>Tiers</w:t>
            </w:r>
          </w:p>
        </w:tc>
      </w:tr>
      <w:tr>
        <w:tc>
          <w:tcPr>
            <w:tcW w:type="dxa" w:w="2948"/>
            <w:shd w:val="clear" w:color="auto" w:fill="FBF3E6"/>
          </w:tcPr>
          <w:p>
            <w:pPr>
              <w:spacing w:after="20" w:before="20"/>
            </w:pPr>
            <w:r/>
            <w:r>
              <w:rPr>
                <w:b w:val="0"/>
                <w:color w:val="222A33"/>
                <w:sz w:val="18"/>
              </w:rPr>
              <w:t>fundraising.donor_management</w:t>
            </w:r>
          </w:p>
        </w:tc>
        <w:tc>
          <w:tcPr>
            <w:tcW w:type="dxa" w:w="3061"/>
            <w:shd w:val="clear" w:color="auto" w:fill="FBF3E6"/>
          </w:tcPr>
          <w:p>
            <w:pPr>
              <w:spacing w:after="20" w:before="20"/>
            </w:pPr>
            <w:r/>
            <w:r>
              <w:rPr>
                <w:b w:val="0"/>
                <w:color w:val="222A33"/>
                <w:sz w:val="18"/>
              </w:rPr>
              <w:t>Fundraising &amp; Donor Management</w:t>
            </w:r>
          </w:p>
        </w:tc>
        <w:tc>
          <w:tcPr>
            <w:tcW w:type="dxa" w:w="1701"/>
            <w:shd w:val="clear" w:color="auto" w:fill="FBF3E6"/>
          </w:tcPr>
          <w:p>
            <w:pPr>
              <w:spacing w:after="20" w:before="20"/>
            </w:pPr>
            <w:r/>
            <w:r>
              <w:rPr>
                <w:b w:val="0"/>
                <w:color w:val="222A33"/>
                <w:sz w:val="18"/>
              </w:rPr>
              <w:t>fundraising</w:t>
            </w:r>
          </w:p>
        </w:tc>
        <w:tc>
          <w:tcPr>
            <w:tcW w:type="dxa" w:w="1928"/>
            <w:shd w:val="clear" w:color="auto" w:fill="FBF3E6"/>
          </w:tcPr>
          <w:p>
            <w:pPr>
              <w:spacing w:after="20" w:before="20"/>
            </w:pPr>
            <w:r/>
            <w:r>
              <w:rPr>
                <w:b w:val="0"/>
                <w:color w:val="222A33"/>
                <w:sz w:val="18"/>
              </w:rPr>
              <w:t>G · P · E</w:t>
            </w:r>
          </w:p>
        </w:tc>
      </w:tr>
      <w:tr>
        <w:tc>
          <w:tcPr>
            <w:tcW w:type="dxa" w:w="2948"/>
            <w:shd w:val="clear" w:color="auto" w:fill="FBF3E6"/>
          </w:tcPr>
          <w:p>
            <w:pPr>
              <w:spacing w:after="20" w:before="20"/>
            </w:pPr>
            <w:r/>
            <w:r>
              <w:rPr>
                <w:b w:val="0"/>
                <w:color w:val="222A33"/>
                <w:sz w:val="18"/>
              </w:rPr>
              <w:t>delivery.project_management</w:t>
            </w:r>
          </w:p>
        </w:tc>
        <w:tc>
          <w:tcPr>
            <w:tcW w:type="dxa" w:w="3061"/>
            <w:shd w:val="clear" w:color="auto" w:fill="FBF3E6"/>
          </w:tcPr>
          <w:p>
            <w:pPr>
              <w:spacing w:after="20" w:before="20"/>
            </w:pPr>
            <w:r/>
            <w:r>
              <w:rPr>
                <w:b w:val="0"/>
                <w:color w:val="222A33"/>
                <w:sz w:val="18"/>
              </w:rPr>
              <w:t>Project &amp; Grant Delivery</w:t>
            </w:r>
          </w:p>
        </w:tc>
        <w:tc>
          <w:tcPr>
            <w:tcW w:type="dxa" w:w="1701"/>
            <w:shd w:val="clear" w:color="auto" w:fill="FBF3E6"/>
          </w:tcPr>
          <w:p>
            <w:pPr>
              <w:spacing w:after="20" w:before="20"/>
            </w:pPr>
            <w:r/>
            <w:r>
              <w:rPr>
                <w:b w:val="0"/>
                <w:color w:val="222A33"/>
                <w:sz w:val="18"/>
              </w:rPr>
              <w:t>delivery</w:t>
            </w:r>
          </w:p>
        </w:tc>
        <w:tc>
          <w:tcPr>
            <w:tcW w:type="dxa" w:w="1928"/>
            <w:shd w:val="clear" w:color="auto" w:fill="FBF3E6"/>
          </w:tcPr>
          <w:p>
            <w:pPr>
              <w:spacing w:after="20" w:before="20"/>
            </w:pPr>
            <w:r/>
            <w:r>
              <w:rPr>
                <w:b w:val="0"/>
                <w:color w:val="222A33"/>
                <w:sz w:val="18"/>
              </w:rPr>
              <w:t>G · P · E</w:t>
            </w:r>
          </w:p>
        </w:tc>
      </w:tr>
      <w:tr>
        <w:tc>
          <w:tcPr>
            <w:tcW w:type="dxa" w:w="2948"/>
            <w:shd w:val="clear" w:color="auto" w:fill="FBF3E6"/>
          </w:tcPr>
          <w:p>
            <w:pPr>
              <w:spacing w:after="20" w:before="20"/>
            </w:pPr>
            <w:r/>
            <w:r>
              <w:rPr>
                <w:b w:val="0"/>
                <w:color w:val="222A33"/>
                <w:sz w:val="18"/>
              </w:rPr>
              <w:t>marketing.social_campaigns</w:t>
            </w:r>
          </w:p>
        </w:tc>
        <w:tc>
          <w:tcPr>
            <w:tcW w:type="dxa" w:w="3061"/>
            <w:shd w:val="clear" w:color="auto" w:fill="FBF3E6"/>
          </w:tcPr>
          <w:p>
            <w:pPr>
              <w:spacing w:after="20" w:before="20"/>
            </w:pPr>
            <w:r/>
            <w:r>
              <w:rPr>
                <w:b w:val="0"/>
                <w:color w:val="222A33"/>
                <w:sz w:val="18"/>
              </w:rPr>
              <w:t>Marketing &amp; Social Campaigns</w:t>
            </w:r>
          </w:p>
        </w:tc>
        <w:tc>
          <w:tcPr>
            <w:tcW w:type="dxa" w:w="1701"/>
            <w:shd w:val="clear" w:color="auto" w:fill="FBF3E6"/>
          </w:tcPr>
          <w:p>
            <w:pPr>
              <w:spacing w:after="20" w:before="20"/>
            </w:pPr>
            <w:r/>
            <w:r>
              <w:rPr>
                <w:b w:val="0"/>
                <w:color w:val="222A33"/>
                <w:sz w:val="18"/>
              </w:rPr>
              <w:t>marketing</w:t>
            </w:r>
          </w:p>
        </w:tc>
        <w:tc>
          <w:tcPr>
            <w:tcW w:type="dxa" w:w="1928"/>
            <w:shd w:val="clear" w:color="auto" w:fill="FBF3E6"/>
          </w:tcPr>
          <w:p>
            <w:pPr>
              <w:spacing w:after="20" w:before="20"/>
            </w:pPr>
            <w:r/>
            <w:r>
              <w:rPr>
                <w:b w:val="0"/>
                <w:color w:val="222A33"/>
                <w:sz w:val="18"/>
              </w:rPr>
              <w:t>G · P · E</w:t>
            </w:r>
          </w:p>
        </w:tc>
      </w:tr>
      <w:tr>
        <w:tc>
          <w:tcPr>
            <w:tcW w:type="dxa" w:w="2948"/>
            <w:shd w:val="clear" w:color="auto" w:fill="FBF3E6"/>
          </w:tcPr>
          <w:p>
            <w:pPr>
              <w:spacing w:after="20" w:before="20"/>
            </w:pPr>
            <w:r/>
            <w:r>
              <w:rPr>
                <w:b w:val="0"/>
                <w:color w:val="222A33"/>
                <w:sz w:val="18"/>
              </w:rPr>
              <w:t>people.volunteers</w:t>
            </w:r>
          </w:p>
        </w:tc>
        <w:tc>
          <w:tcPr>
            <w:tcW w:type="dxa" w:w="3061"/>
            <w:shd w:val="clear" w:color="auto" w:fill="FBF3E6"/>
          </w:tcPr>
          <w:p>
            <w:pPr>
              <w:spacing w:after="20" w:before="20"/>
            </w:pPr>
            <w:r/>
            <w:r>
              <w:rPr>
                <w:b w:val="0"/>
                <w:color w:val="222A33"/>
                <w:sz w:val="18"/>
              </w:rPr>
              <w:t>Volunteer Management</w:t>
            </w:r>
          </w:p>
        </w:tc>
        <w:tc>
          <w:tcPr>
            <w:tcW w:type="dxa" w:w="1701"/>
            <w:shd w:val="clear" w:color="auto" w:fill="FBF3E6"/>
          </w:tcPr>
          <w:p>
            <w:pPr>
              <w:spacing w:after="20" w:before="20"/>
            </w:pPr>
            <w:r/>
            <w:r>
              <w:rPr>
                <w:b w:val="0"/>
                <w:color w:val="222A33"/>
                <w:sz w:val="18"/>
              </w:rPr>
              <w:t>hr</w:t>
            </w:r>
          </w:p>
        </w:tc>
        <w:tc>
          <w:tcPr>
            <w:tcW w:type="dxa" w:w="1928"/>
            <w:shd w:val="clear" w:color="auto" w:fill="FBF3E6"/>
          </w:tcPr>
          <w:p>
            <w:pPr>
              <w:spacing w:after="20" w:before="20"/>
            </w:pPr>
            <w:r/>
            <w:r>
              <w:rPr>
                <w:b w:val="0"/>
                <w:color w:val="222A33"/>
                <w:sz w:val="18"/>
              </w:rPr>
              <w:t>G · P · E</w:t>
            </w:r>
          </w:p>
        </w:tc>
      </w:tr>
      <w:tr>
        <w:tc>
          <w:tcPr>
            <w:tcW w:type="dxa" w:w="2948"/>
            <w:shd w:val="clear" w:color="auto" w:fill="FBF3E6"/>
          </w:tcPr>
          <w:p>
            <w:pPr>
              <w:spacing w:after="20" w:before="20"/>
            </w:pPr>
            <w:r/>
            <w:r>
              <w:rPr>
                <w:b w:val="0"/>
                <w:color w:val="222A33"/>
                <w:sz w:val="18"/>
              </w:rPr>
              <w:t>mobile.access</w:t>
            </w:r>
          </w:p>
        </w:tc>
        <w:tc>
          <w:tcPr>
            <w:tcW w:type="dxa" w:w="3061"/>
            <w:shd w:val="clear" w:color="auto" w:fill="FBF3E6"/>
          </w:tcPr>
          <w:p>
            <w:pPr>
              <w:spacing w:after="20" w:before="20"/>
            </w:pPr>
            <w:r/>
            <w:r>
              <w:rPr>
                <w:b w:val="0"/>
                <w:color w:val="222A33"/>
                <w:sz w:val="18"/>
              </w:rPr>
              <w:t>Mobile App (iOS &amp; Android)</w:t>
            </w:r>
          </w:p>
        </w:tc>
        <w:tc>
          <w:tcPr>
            <w:tcW w:type="dxa" w:w="1701"/>
            <w:shd w:val="clear" w:color="auto" w:fill="FBF3E6"/>
          </w:tcPr>
          <w:p>
            <w:pPr>
              <w:spacing w:after="20" w:before="20"/>
            </w:pPr>
            <w:r/>
            <w:r>
              <w:rPr>
                <w:b w:val="0"/>
                <w:color w:val="222A33"/>
                <w:sz w:val="18"/>
              </w:rPr>
              <w:t>mobile</w:t>
            </w:r>
          </w:p>
        </w:tc>
        <w:tc>
          <w:tcPr>
            <w:tcW w:type="dxa" w:w="1928"/>
            <w:shd w:val="clear" w:color="auto" w:fill="FBF3E6"/>
          </w:tcPr>
          <w:p>
            <w:pPr>
              <w:spacing w:after="20" w:before="20"/>
            </w:pPr>
            <w:r/>
            <w:r>
              <w:rPr>
                <w:b w:val="0"/>
                <w:color w:val="222A33"/>
                <w:sz w:val="18"/>
              </w:rPr>
              <w:t>G · P · E  (add-on on F)</w:t>
            </w:r>
          </w:p>
        </w:tc>
      </w:tr>
      <w:tr>
        <w:tc>
          <w:tcPr>
            <w:tcW w:type="dxa" w:w="2948"/>
            <w:shd w:val="clear" w:color="auto" w:fill="FBF3E6"/>
          </w:tcPr>
          <w:p>
            <w:pPr>
              <w:spacing w:after="20" w:before="20"/>
            </w:pPr>
            <w:r/>
            <w:r>
              <w:rPr>
                <w:b w:val="0"/>
                <w:color w:val="222A33"/>
                <w:sz w:val="18"/>
              </w:rPr>
              <w:t>collaboration.chat</w:t>
            </w:r>
          </w:p>
        </w:tc>
        <w:tc>
          <w:tcPr>
            <w:tcW w:type="dxa" w:w="3061"/>
            <w:shd w:val="clear" w:color="auto" w:fill="FBF3E6"/>
          </w:tcPr>
          <w:p>
            <w:pPr>
              <w:spacing w:after="20" w:before="20"/>
            </w:pPr>
            <w:r/>
            <w:r>
              <w:rPr>
                <w:b w:val="0"/>
                <w:color w:val="222A33"/>
                <w:sz w:val="18"/>
              </w:rPr>
              <w:t>Team Chat &amp; Channels</w:t>
            </w:r>
          </w:p>
        </w:tc>
        <w:tc>
          <w:tcPr>
            <w:tcW w:type="dxa" w:w="1701"/>
            <w:shd w:val="clear" w:color="auto" w:fill="FBF3E6"/>
          </w:tcPr>
          <w:p>
            <w:pPr>
              <w:spacing w:after="20" w:before="20"/>
            </w:pPr>
            <w:r/>
            <w:r>
              <w:rPr>
                <w:b w:val="0"/>
                <w:color w:val="222A33"/>
                <w:sz w:val="18"/>
              </w:rPr>
              <w:t>collaboration</w:t>
            </w:r>
          </w:p>
        </w:tc>
        <w:tc>
          <w:tcPr>
            <w:tcW w:type="dxa" w:w="1928"/>
            <w:shd w:val="clear" w:color="auto" w:fill="FBF3E6"/>
          </w:tcPr>
          <w:p>
            <w:pPr>
              <w:spacing w:after="20" w:before="20"/>
            </w:pPr>
            <w:r/>
            <w:r>
              <w:rPr>
                <w:b w:val="0"/>
                <w:color w:val="222A33"/>
                <w:sz w:val="18"/>
              </w:rPr>
              <w:t>G · P · E  (add-on on F)</w:t>
            </w:r>
          </w:p>
        </w:tc>
      </w:tr>
      <w:tr>
        <w:tc>
          <w:tcPr>
            <w:tcW w:type="dxa" w:w="2948"/>
          </w:tcPr>
          <w:p>
            <w:pPr>
              <w:spacing w:after="20" w:before="20"/>
            </w:pPr>
            <w:r/>
            <w:r>
              <w:rPr>
                <w:b w:val="0"/>
                <w:color w:val="222A33"/>
                <w:sz w:val="18"/>
              </w:rPr>
              <w:t>operations.suppliers</w:t>
            </w:r>
          </w:p>
        </w:tc>
        <w:tc>
          <w:tcPr>
            <w:tcW w:type="dxa" w:w="3061"/>
          </w:tcPr>
          <w:p>
            <w:pPr>
              <w:spacing w:after="20" w:before="20"/>
            </w:pPr>
            <w:r/>
            <w:r>
              <w:rPr>
                <w:b w:val="0"/>
                <w:color w:val="222A33"/>
                <w:sz w:val="18"/>
              </w:rPr>
              <w:t>Supplier Register</w:t>
            </w:r>
          </w:p>
        </w:tc>
        <w:tc>
          <w:tcPr>
            <w:tcW w:type="dxa" w:w="1701"/>
          </w:tcPr>
          <w:p>
            <w:pPr>
              <w:spacing w:after="20" w:before="20"/>
            </w:pPr>
            <w:r/>
            <w:r>
              <w:rPr>
                <w:b w:val="0"/>
                <w:color w:val="222A33"/>
                <w:sz w:val="18"/>
              </w:rPr>
              <w:t>operations</w:t>
            </w:r>
          </w:p>
        </w:tc>
        <w:tc>
          <w:tcPr>
            <w:tcW w:type="dxa" w:w="1928"/>
          </w:tcPr>
          <w:p>
            <w:pPr>
              <w:spacing w:after="20" w:before="20"/>
            </w:pPr>
            <w:r/>
            <w:r>
              <w:rPr>
                <w:b w:val="0"/>
                <w:color w:val="222A33"/>
                <w:sz w:val="18"/>
              </w:rPr>
              <w:t>P · E</w:t>
            </w:r>
          </w:p>
        </w:tc>
      </w:tr>
      <w:tr>
        <w:tc>
          <w:tcPr>
            <w:tcW w:type="dxa" w:w="2948"/>
            <w:shd w:val="clear" w:color="auto" w:fill="F4F7F6"/>
          </w:tcPr>
          <w:p>
            <w:pPr>
              <w:spacing w:after="20" w:before="20"/>
            </w:pPr>
            <w:r/>
            <w:r>
              <w:rPr>
                <w:b w:val="0"/>
                <w:color w:val="222A33"/>
                <w:sz w:val="18"/>
              </w:rPr>
              <w:t>governance.inquiries</w:t>
            </w:r>
          </w:p>
        </w:tc>
        <w:tc>
          <w:tcPr>
            <w:tcW w:type="dxa" w:w="3061"/>
            <w:shd w:val="clear" w:color="auto" w:fill="F4F7F6"/>
          </w:tcPr>
          <w:p>
            <w:pPr>
              <w:spacing w:after="20" w:before="20"/>
            </w:pPr>
            <w:r/>
            <w:r>
              <w:rPr>
                <w:b w:val="0"/>
                <w:color w:val="222A33"/>
                <w:sz w:val="18"/>
              </w:rPr>
              <w:t>Inquiry Register</w:t>
            </w:r>
          </w:p>
        </w:tc>
        <w:tc>
          <w:tcPr>
            <w:tcW w:type="dxa" w:w="1701"/>
            <w:shd w:val="clear" w:color="auto" w:fill="F4F7F6"/>
          </w:tcPr>
          <w:p>
            <w:pPr>
              <w:spacing w:after="20" w:before="20"/>
            </w:pPr>
            <w:r/>
            <w:r>
              <w:rPr>
                <w:b w:val="0"/>
                <w:color w:val="222A33"/>
                <w:sz w:val="18"/>
              </w:rPr>
              <w:t>governance</w:t>
            </w:r>
          </w:p>
        </w:tc>
        <w:tc>
          <w:tcPr>
            <w:tcW w:type="dxa" w:w="1928"/>
            <w:shd w:val="clear" w:color="auto" w:fill="F4F7F6"/>
          </w:tcPr>
          <w:p>
            <w:pPr>
              <w:spacing w:after="20" w:before="20"/>
            </w:pPr>
            <w:r/>
            <w:r>
              <w:rPr>
                <w:b w:val="0"/>
                <w:color w:val="222A33"/>
                <w:sz w:val="18"/>
              </w:rPr>
              <w:t>F · G · P · E</w:t>
            </w:r>
          </w:p>
        </w:tc>
      </w:tr>
      <w:tr>
        <w:tc>
          <w:tcPr>
            <w:tcW w:type="dxa" w:w="2948"/>
          </w:tcPr>
          <w:p>
            <w:pPr>
              <w:spacing w:after="20" w:before="20"/>
            </w:pPr>
            <w:r/>
            <w:r>
              <w:rPr>
                <w:b w:val="0"/>
                <w:color w:val="222A33"/>
                <w:sz w:val="18"/>
              </w:rPr>
              <w:t>productivity.calendar</w:t>
            </w:r>
          </w:p>
        </w:tc>
        <w:tc>
          <w:tcPr>
            <w:tcW w:type="dxa" w:w="3061"/>
          </w:tcPr>
          <w:p>
            <w:pPr>
              <w:spacing w:after="20" w:before="20"/>
            </w:pPr>
            <w:r/>
            <w:r>
              <w:rPr>
                <w:b w:val="0"/>
                <w:color w:val="222A33"/>
                <w:sz w:val="18"/>
              </w:rPr>
              <w:t>Calendar &amp; Reminders</w:t>
            </w:r>
          </w:p>
        </w:tc>
        <w:tc>
          <w:tcPr>
            <w:tcW w:type="dxa" w:w="1701"/>
          </w:tcPr>
          <w:p>
            <w:pPr>
              <w:spacing w:after="20" w:before="20"/>
            </w:pPr>
            <w:r/>
            <w:r>
              <w:rPr>
                <w:b w:val="0"/>
                <w:color w:val="222A33"/>
                <w:sz w:val="18"/>
              </w:rPr>
              <w:t>productivity</w:t>
            </w:r>
          </w:p>
        </w:tc>
        <w:tc>
          <w:tcPr>
            <w:tcW w:type="dxa" w:w="1928"/>
          </w:tcPr>
          <w:p>
            <w:pPr>
              <w:spacing w:after="20" w:before="20"/>
            </w:pPr>
            <w:r/>
            <w:r>
              <w:rPr>
                <w:b w:val="0"/>
                <w:color w:val="222A33"/>
                <w:sz w:val="18"/>
              </w:rPr>
              <w:t>F · G · P · E</w:t>
            </w:r>
          </w:p>
        </w:tc>
      </w:tr>
      <w:tr>
        <w:tc>
          <w:tcPr>
            <w:tcW w:type="dxa" w:w="2948"/>
            <w:shd w:val="clear" w:color="auto" w:fill="F4F7F6"/>
          </w:tcPr>
          <w:p>
            <w:pPr>
              <w:spacing w:after="20" w:before="20"/>
            </w:pPr>
            <w:r/>
            <w:r>
              <w:rPr>
                <w:b w:val="0"/>
                <w:color w:val="222A33"/>
                <w:sz w:val="18"/>
              </w:rPr>
              <w:t>support.tickets</w:t>
            </w:r>
          </w:p>
        </w:tc>
        <w:tc>
          <w:tcPr>
            <w:tcW w:type="dxa" w:w="3061"/>
            <w:shd w:val="clear" w:color="auto" w:fill="F4F7F6"/>
          </w:tcPr>
          <w:p>
            <w:pPr>
              <w:spacing w:after="20" w:before="20"/>
            </w:pPr>
            <w:r/>
            <w:r>
              <w:rPr>
                <w:b w:val="0"/>
                <w:color w:val="222A33"/>
                <w:sz w:val="18"/>
              </w:rPr>
              <w:t>In-app Support Tickets</w:t>
            </w:r>
          </w:p>
        </w:tc>
        <w:tc>
          <w:tcPr>
            <w:tcW w:type="dxa" w:w="1701"/>
            <w:shd w:val="clear" w:color="auto" w:fill="F4F7F6"/>
          </w:tcPr>
          <w:p>
            <w:pPr>
              <w:spacing w:after="20" w:before="20"/>
            </w:pPr>
            <w:r/>
            <w:r>
              <w:rPr>
                <w:b w:val="0"/>
                <w:color w:val="222A33"/>
                <w:sz w:val="18"/>
              </w:rPr>
              <w:t>support</w:t>
            </w:r>
          </w:p>
        </w:tc>
        <w:tc>
          <w:tcPr>
            <w:tcW w:type="dxa" w:w="1928"/>
            <w:shd w:val="clear" w:color="auto" w:fill="F4F7F6"/>
          </w:tcPr>
          <w:p>
            <w:pPr>
              <w:spacing w:after="20" w:before="20"/>
            </w:pPr>
            <w:r/>
            <w:r>
              <w:rPr>
                <w:b w:val="0"/>
                <w:color w:val="222A33"/>
                <w:sz w:val="18"/>
              </w:rPr>
              <w:t>F · G · P · E</w:t>
            </w:r>
          </w:p>
        </w:tc>
      </w:tr>
      <w:tr>
        <w:tc>
          <w:tcPr>
            <w:tcW w:type="dxa" w:w="2948"/>
          </w:tcPr>
          <w:p>
            <w:pPr>
              <w:spacing w:after="20" w:before="20"/>
            </w:pPr>
            <w:r/>
            <w:r>
              <w:rPr>
                <w:b w:val="0"/>
                <w:color w:val="222A33"/>
                <w:sz w:val="18"/>
              </w:rPr>
              <w:t>marketplace.policies</w:t>
            </w:r>
          </w:p>
        </w:tc>
        <w:tc>
          <w:tcPr>
            <w:tcW w:type="dxa" w:w="3061"/>
          </w:tcPr>
          <w:p>
            <w:pPr>
              <w:spacing w:after="20" w:before="20"/>
            </w:pPr>
            <w:r/>
            <w:r>
              <w:rPr>
                <w:b w:val="0"/>
                <w:color w:val="222A33"/>
                <w:sz w:val="18"/>
              </w:rPr>
              <w:t>Policy Template Marketplace</w:t>
            </w:r>
          </w:p>
        </w:tc>
        <w:tc>
          <w:tcPr>
            <w:tcW w:type="dxa" w:w="1701"/>
          </w:tcPr>
          <w:p>
            <w:pPr>
              <w:spacing w:after="20" w:before="20"/>
            </w:pPr>
            <w:r/>
            <w:r>
              <w:rPr>
                <w:b w:val="0"/>
                <w:color w:val="222A33"/>
                <w:sz w:val="18"/>
              </w:rPr>
              <w:t>marketplace</w:t>
            </w:r>
          </w:p>
        </w:tc>
        <w:tc>
          <w:tcPr>
            <w:tcW w:type="dxa" w:w="1928"/>
          </w:tcPr>
          <w:p>
            <w:pPr>
              <w:spacing w:after="20" w:before="20"/>
            </w:pPr>
            <w:r/>
            <w:r>
              <w:rPr>
                <w:b w:val="0"/>
                <w:color w:val="222A33"/>
                <w:sz w:val="18"/>
              </w:rPr>
              <w:t>All tiers · pay-per-template</w:t>
            </w:r>
          </w:p>
        </w:tc>
      </w:tr>
    </w:tbl>
    <w:p>
      <w:pPr>
        <w:spacing w:after="40"/>
      </w:pPr>
      <w:r>
        <w:rPr>
          <w:b w:val="0"/>
          <w:i/>
          <w:color w:val="5A6675"/>
          <w:sz w:val="19"/>
        </w:rPr>
        <w:t>Rows highlighted are the changes with direct pricing impact. The remaining flags (inquiries, calendar, support tickets) are housekeeping — granted on every tier with no price effect — and marketplace is a separate à-la-carte product available regardless of tier.</w:t>
      </w:r>
    </w:p>
    <w:p>
      <w:pPr>
        <w:spacing w:before="240" w:after="80"/>
        <w:pBdr>
          <w:bottom w:val="single" w:sz="12" w:space="3" w:color="1F8A7E"/>
        </w:pBdr>
      </w:pPr>
      <w:r>
        <w:rPr>
          <w:b/>
          <w:color w:val="0B2545"/>
          <w:sz w:val="27"/>
        </w:rPr>
        <w:t>5.  Per-tier functionality impact</w:t>
      </w:r>
    </w:p>
    <w:p>
      <w:pPr>
        <w:spacing w:after="60"/>
      </w:pPr>
      <w:r>
        <w:rPr>
          <w:b w:val="0"/>
          <w:i w:val="0"/>
          <w:color w:val="222A33"/>
          <w:sz w:val="21"/>
        </w:rPr>
        <w:t>Net effect of re-homing the modules above and introducing the Growth tier. ✓ = included, + = newly added to that tier, — = not included, ⊕ = available as a paid add-on.</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4082"/>
            <w:shd w:val="clear" w:color="auto" w:fill="1F8A7E"/>
          </w:tcPr>
          <w:p>
            <w:pPr>
              <w:spacing w:after="20" w:before="20"/>
            </w:pPr>
            <w:r/>
            <w:r>
              <w:rPr>
                <w:b/>
                <w:color w:val="FFFFFF"/>
                <w:sz w:val="17"/>
              </w:rPr>
              <w:t>Capability</w:t>
            </w:r>
          </w:p>
        </w:tc>
        <w:tc>
          <w:tcPr>
            <w:tcW w:type="dxa" w:w="1417"/>
            <w:shd w:val="clear" w:color="auto" w:fill="1F8A7E"/>
          </w:tcPr>
          <w:p>
            <w:pPr>
              <w:spacing w:after="20" w:before="20"/>
            </w:pPr>
            <w:r/>
            <w:r>
              <w:rPr>
                <w:b/>
                <w:color w:val="FFFFFF"/>
                <w:sz w:val="17"/>
              </w:rPr>
              <w:t>Foundation</w:t>
            </w:r>
          </w:p>
        </w:tc>
        <w:tc>
          <w:tcPr>
            <w:tcW w:type="dxa" w:w="1474"/>
            <w:shd w:val="clear" w:color="auto" w:fill="1F8A7E"/>
          </w:tcPr>
          <w:p>
            <w:pPr>
              <w:spacing w:after="20" w:before="20"/>
            </w:pPr>
            <w:r/>
            <w:r>
              <w:rPr>
                <w:b/>
                <w:color w:val="FFFFFF"/>
                <w:sz w:val="17"/>
              </w:rPr>
              <w:t>Growth (new)</w:t>
            </w:r>
          </w:p>
        </w:tc>
        <w:tc>
          <w:tcPr>
            <w:tcW w:type="dxa" w:w="1474"/>
            <w:shd w:val="clear" w:color="auto" w:fill="1F8A7E"/>
          </w:tcPr>
          <w:p>
            <w:pPr>
              <w:spacing w:after="20" w:before="20"/>
            </w:pPr>
            <w:r/>
            <w:r>
              <w:rPr>
                <w:b/>
                <w:color w:val="FFFFFF"/>
                <w:sz w:val="17"/>
              </w:rPr>
              <w:t>Professional</w:t>
            </w:r>
          </w:p>
        </w:tc>
        <w:tc>
          <w:tcPr>
            <w:tcW w:type="dxa" w:w="1474"/>
            <w:shd w:val="clear" w:color="auto" w:fill="1F8A7E"/>
          </w:tcPr>
          <w:p>
            <w:pPr>
              <w:spacing w:after="20" w:before="20"/>
            </w:pPr>
            <w:r/>
            <w:r>
              <w:rPr>
                <w:b/>
                <w:color w:val="FFFFFF"/>
                <w:sz w:val="17"/>
              </w:rPr>
              <w:t>Enterprise</w:t>
            </w:r>
          </w:p>
        </w:tc>
      </w:tr>
      <w:tr>
        <w:tc>
          <w:tcPr>
            <w:tcW w:type="dxa" w:w="4082"/>
          </w:tcPr>
          <w:p>
            <w:pPr>
              <w:spacing w:after="20" w:before="20"/>
            </w:pPr>
            <w:r/>
            <w:r>
              <w:rPr>
                <w:b/>
                <w:color w:val="222A33"/>
                <w:sz w:val="17"/>
              </w:rPr>
              <w:t>Governance &amp; registers (org, board, policy, risk, complaints, AIS)</w:t>
            </w:r>
          </w:p>
        </w:tc>
        <w:tc>
          <w:tcPr>
            <w:tcW w:type="dxa" w:w="1417"/>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r>
      <w:tr>
        <w:tc>
          <w:tcPr>
            <w:tcW w:type="dxa" w:w="4082"/>
            <w:shd w:val="clear" w:color="auto" w:fill="F4F7F6"/>
          </w:tcPr>
          <w:p>
            <w:pPr>
              <w:spacing w:after="20" w:before="20"/>
            </w:pPr>
            <w:r/>
            <w:r>
              <w:rPr>
                <w:b/>
                <w:color w:val="222A33"/>
                <w:sz w:val="17"/>
              </w:rPr>
              <w:t>Security (audit log, MFA, role permissions)</w:t>
            </w:r>
          </w:p>
        </w:tc>
        <w:tc>
          <w:tcPr>
            <w:tcW w:type="dxa" w:w="1417"/>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r>
      <w:tr>
        <w:tc>
          <w:tcPr>
            <w:tcW w:type="dxa" w:w="4082"/>
          </w:tcPr>
          <w:p>
            <w:pPr>
              <w:spacing w:after="20" w:before="20"/>
            </w:pPr>
            <w:r/>
            <w:r>
              <w:rPr>
                <w:b/>
                <w:color w:val="222A33"/>
                <w:sz w:val="17"/>
              </w:rPr>
              <w:t>Inquiry register · Calendar · Support tickets</w:t>
            </w:r>
          </w:p>
        </w:tc>
        <w:tc>
          <w:tcPr>
            <w:tcW w:type="dxa" w:w="1417"/>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r>
      <w:tr>
        <w:tc>
          <w:tcPr>
            <w:tcW w:type="dxa" w:w="4082"/>
            <w:shd w:val="clear" w:color="auto" w:fill="FBF3E6"/>
          </w:tcPr>
          <w:p>
            <w:pPr>
              <w:spacing w:after="20" w:before="20"/>
            </w:pPr>
            <w:r/>
            <w:r>
              <w:rPr>
                <w:b/>
                <w:color w:val="222A33"/>
                <w:sz w:val="17"/>
              </w:rPr>
              <w:t>Fundraising &amp; Donor Management</w:t>
            </w:r>
          </w:p>
        </w:tc>
        <w:tc>
          <w:tcPr>
            <w:tcW w:type="dxa" w:w="1417"/>
            <w:shd w:val="clear" w:color="auto" w:fill="FBF3E6"/>
          </w:tcPr>
          <w:p>
            <w:pPr>
              <w:spacing w:after="20" w:before="20"/>
            </w:pPr>
            <w:r/>
            <w:r>
              <w:rPr>
                <w:b w:val="0"/>
                <w:color w:val="222A33"/>
                <w:sz w:val="17"/>
              </w:rPr>
              <w:t>— (was ✓)</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r>
      <w:tr>
        <w:tc>
          <w:tcPr>
            <w:tcW w:type="dxa" w:w="4082"/>
            <w:shd w:val="clear" w:color="auto" w:fill="FBF3E6"/>
          </w:tcPr>
          <w:p>
            <w:pPr>
              <w:spacing w:after="20" w:before="20"/>
            </w:pPr>
            <w:r/>
            <w:r>
              <w:rPr>
                <w:b/>
                <w:color w:val="222A33"/>
                <w:sz w:val="17"/>
              </w:rPr>
              <w:t>Project &amp; Grant Delivery</w:t>
            </w:r>
          </w:p>
        </w:tc>
        <w:tc>
          <w:tcPr>
            <w:tcW w:type="dxa" w:w="1417"/>
            <w:shd w:val="clear" w:color="auto" w:fill="FBF3E6"/>
          </w:tcPr>
          <w:p>
            <w:pPr>
              <w:spacing w:after="20" w:before="20"/>
            </w:pPr>
            <w:r/>
            <w:r>
              <w:rPr>
                <w:b w:val="0"/>
                <w:color w:val="222A33"/>
                <w:sz w:val="17"/>
              </w:rPr>
              <w:t>— (was ✓)</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r>
      <w:tr>
        <w:tc>
          <w:tcPr>
            <w:tcW w:type="dxa" w:w="4082"/>
            <w:shd w:val="clear" w:color="auto" w:fill="FBF3E6"/>
          </w:tcPr>
          <w:p>
            <w:pPr>
              <w:spacing w:after="20" w:before="20"/>
            </w:pPr>
            <w:r/>
            <w:r>
              <w:rPr>
                <w:b/>
                <w:color w:val="222A33"/>
                <w:sz w:val="17"/>
              </w:rPr>
              <w:t>Marketing &amp; Social Campaigns</w:t>
            </w:r>
          </w:p>
        </w:tc>
        <w:tc>
          <w:tcPr>
            <w:tcW w:type="dxa" w:w="1417"/>
            <w:shd w:val="clear" w:color="auto" w:fill="FBF3E6"/>
          </w:tcPr>
          <w:p>
            <w:pPr>
              <w:spacing w:after="20" w:before="20"/>
            </w:pPr>
            <w:r/>
            <w:r>
              <w:rPr>
                <w:b w:val="0"/>
                <w:color w:val="222A33"/>
                <w:sz w:val="17"/>
              </w:rPr>
              <w:t>— (was ✓)</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r>
      <w:tr>
        <w:tc>
          <w:tcPr>
            <w:tcW w:type="dxa" w:w="4082"/>
            <w:shd w:val="clear" w:color="auto" w:fill="FBF3E6"/>
          </w:tcPr>
          <w:p>
            <w:pPr>
              <w:spacing w:after="20" w:before="20"/>
            </w:pPr>
            <w:r/>
            <w:r>
              <w:rPr>
                <w:b/>
                <w:color w:val="222A33"/>
                <w:sz w:val="17"/>
              </w:rPr>
              <w:t>Volunteer Management</w:t>
            </w:r>
          </w:p>
        </w:tc>
        <w:tc>
          <w:tcPr>
            <w:tcW w:type="dxa" w:w="1417"/>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r>
      <w:tr>
        <w:tc>
          <w:tcPr>
            <w:tcW w:type="dxa" w:w="4082"/>
            <w:shd w:val="clear" w:color="auto" w:fill="FBF3E6"/>
          </w:tcPr>
          <w:p>
            <w:pPr>
              <w:spacing w:after="20" w:before="20"/>
            </w:pPr>
            <w:r/>
            <w:r>
              <w:rPr>
                <w:b/>
                <w:color w:val="222A33"/>
                <w:sz w:val="17"/>
              </w:rPr>
              <w:t>Mobile app (iOS &amp; Android)</w:t>
            </w:r>
          </w:p>
        </w:tc>
        <w:tc>
          <w:tcPr>
            <w:tcW w:type="dxa" w:w="1417"/>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r>
      <w:tr>
        <w:tc>
          <w:tcPr>
            <w:tcW w:type="dxa" w:w="4082"/>
            <w:shd w:val="clear" w:color="auto" w:fill="FBF3E6"/>
          </w:tcPr>
          <w:p>
            <w:pPr>
              <w:spacing w:after="20" w:before="20"/>
            </w:pPr>
            <w:r/>
            <w:r>
              <w:rPr>
                <w:b/>
                <w:color w:val="222A33"/>
                <w:sz w:val="17"/>
              </w:rPr>
              <w:t>Team Chat &amp; channels</w:t>
            </w:r>
          </w:p>
        </w:tc>
        <w:tc>
          <w:tcPr>
            <w:tcW w:type="dxa" w:w="1417"/>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c>
          <w:tcPr>
            <w:tcW w:type="dxa" w:w="1474"/>
            <w:shd w:val="clear" w:color="auto" w:fill="FBF3E6"/>
          </w:tcPr>
          <w:p>
            <w:pPr>
              <w:spacing w:after="20" w:before="20"/>
            </w:pPr>
            <w:r/>
            <w:r>
              <w:rPr>
                <w:b w:val="0"/>
                <w:color w:val="222A33"/>
                <w:sz w:val="17"/>
              </w:rPr>
              <w:t>✓</w:t>
            </w:r>
          </w:p>
        </w:tc>
      </w:tr>
      <w:tr>
        <w:tc>
          <w:tcPr>
            <w:tcW w:type="dxa" w:w="4082"/>
            <w:shd w:val="clear" w:color="auto" w:fill="F4F7F6"/>
          </w:tcPr>
          <w:p>
            <w:pPr>
              <w:spacing w:after="20" w:before="20"/>
            </w:pPr>
            <w:r/>
            <w:r>
              <w:rPr>
                <w:b/>
                <w:color w:val="222A33"/>
                <w:sz w:val="17"/>
              </w:rPr>
              <w:t>Finance suite (expenses, invoices, budgets, BAS, statements, cash)</w:t>
            </w:r>
          </w:p>
        </w:tc>
        <w:tc>
          <w:tcPr>
            <w:tcW w:type="dxa" w:w="1417"/>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r>
      <w:tr>
        <w:tc>
          <w:tcPr>
            <w:tcW w:type="dxa" w:w="4082"/>
          </w:tcPr>
          <w:p>
            <w:pPr>
              <w:spacing w:after="20" w:before="20"/>
            </w:pPr>
            <w:r/>
            <w:r>
              <w:rPr>
                <w:b/>
                <w:color w:val="222A33"/>
                <w:sz w:val="17"/>
              </w:rPr>
              <w:t>Partner &amp; Donor Vetting · People &amp; HR · AI Assistant</w:t>
            </w:r>
          </w:p>
        </w:tc>
        <w:tc>
          <w:tcPr>
            <w:tcW w:type="dxa" w:w="1417"/>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r>
      <w:tr>
        <w:tc>
          <w:tcPr>
            <w:tcW w:type="dxa" w:w="4082"/>
            <w:shd w:val="clear" w:color="auto" w:fill="F4F7F6"/>
          </w:tcPr>
          <w:p>
            <w:pPr>
              <w:spacing w:after="20" w:before="20"/>
            </w:pPr>
            <w:r/>
            <w:r>
              <w:rPr>
                <w:b/>
                <w:color w:val="222A33"/>
                <w:sz w:val="17"/>
              </w:rPr>
              <w:t>Supplier register · Systems/IT register · Insurance</w:t>
            </w:r>
          </w:p>
        </w:tc>
        <w:tc>
          <w:tcPr>
            <w:tcW w:type="dxa" w:w="1417"/>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c>
          <w:tcPr>
            <w:tcW w:type="dxa" w:w="1474"/>
            <w:shd w:val="clear" w:color="auto" w:fill="F4F7F6"/>
          </w:tcPr>
          <w:p>
            <w:pPr>
              <w:spacing w:after="20" w:before="20"/>
            </w:pPr>
            <w:r/>
            <w:r>
              <w:rPr>
                <w:b w:val="0"/>
                <w:color w:val="222A33"/>
                <w:sz w:val="17"/>
              </w:rPr>
              <w:t>✓</w:t>
            </w:r>
          </w:p>
        </w:tc>
      </w:tr>
      <w:tr>
        <w:tc>
          <w:tcPr>
            <w:tcW w:type="dxa" w:w="4082"/>
          </w:tcPr>
          <w:p>
            <w:pPr>
              <w:spacing w:after="20" w:before="20"/>
            </w:pPr>
            <w:r/>
            <w:r>
              <w:rPr>
                <w:b/>
                <w:color w:val="222A33"/>
                <w:sz w:val="17"/>
              </w:rPr>
              <w:t>Enterprise (multi-entity, custom workflows, SSO, API, white-label, BCP)</w:t>
            </w:r>
          </w:p>
        </w:tc>
        <w:tc>
          <w:tcPr>
            <w:tcW w:type="dxa" w:w="1417"/>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c>
          <w:tcPr>
            <w:tcW w:type="dxa" w:w="1474"/>
          </w:tcPr>
          <w:p>
            <w:pPr>
              <w:spacing w:after="20" w:before="20"/>
            </w:pPr>
            <w:r/>
            <w:r>
              <w:rPr>
                <w:b w:val="0"/>
                <w:color w:val="222A33"/>
                <w:sz w:val="17"/>
              </w:rPr>
              <w:t>✓</w:t>
            </w:r>
          </w:p>
        </w:tc>
      </w:tr>
    </w:tbl>
    <w:p>
      <w:pPr>
        <w:spacing w:after="40"/>
      </w:pPr>
      <w:r>
        <w:rPr>
          <w:b w:val="0"/>
          <w:i/>
          <w:color w:val="5A6675"/>
          <w:sz w:val="19"/>
        </w:rPr>
        <w:t>Migration safety: because every subscription is pinned to a PlanRevision, removing the fundraising / delivery / marketing modules from Foundation does NOT strip them from existing Foundation customers — they stay on their pinned revision until they choose to migrate. Only new Foundation signups see the tightened scope. The change is a quota reduction on an active tier, so it requires the two-person approval rule.</w:t>
      </w:r>
    </w:p>
    <w:p>
      <w:pPr>
        <w:spacing w:before="240" w:after="80"/>
        <w:pBdr>
          <w:bottom w:val="single" w:sz="12" w:space="3" w:color="1F8A7E"/>
        </w:pBdr>
      </w:pPr>
      <w:r>
        <w:rPr>
          <w:b/>
          <w:color w:val="0B2545"/>
          <w:sz w:val="27"/>
        </w:rPr>
        <w:t>6.  Pricing impact &amp; recommendations</w:t>
      </w:r>
    </w:p>
    <w:p>
      <w:pPr>
        <w:pStyle w:val="ListBullet"/>
        <w:spacing w:after="40" w:line="264" w:lineRule="auto"/>
      </w:pPr>
      <w:r>
        <w:rPr>
          <w:b/>
        </w:rPr>
        <w:t xml:space="preserve">Hold  </w:t>
      </w:r>
      <w:r>
        <w:rPr>
          <w:sz w:val="21"/>
        </w:rPr>
        <w:t>the published monthly prices on Foundation, Professional and Enterprise. The value is captured by re-homing modules upward and by the new Growth tier — not by a headline increase that would unsettle existing customers.</w:t>
      </w:r>
    </w:p>
    <w:p>
      <w:pPr>
        <w:pStyle w:val="ListBullet"/>
        <w:spacing w:after="40" w:line="264" w:lineRule="auto"/>
      </w:pPr>
      <w:r>
        <w:rPr>
          <w:b/>
        </w:rPr>
        <w:t xml:space="preserve">Introduce Growth  </w:t>
      </w:r>
      <w:r>
        <w:rPr>
          <w:sz w:val="21"/>
        </w:rPr>
        <w:t>at $649/mo to fill the large $299 → $1,299 gap and to become the natural home for the fundraising, delivery, marketing and engagement modules. This converts Foundation customers who only signed up for the donor/grants tools into a higher-value plan.</w:t>
      </w:r>
    </w:p>
    <w:p>
      <w:pPr>
        <w:pStyle w:val="ListBullet"/>
        <w:spacing w:after="40" w:line="264" w:lineRule="auto"/>
      </w:pPr>
      <w:r>
        <w:rPr>
          <w:b/>
        </w:rPr>
        <w:t xml:space="preserve">Mobile app —  </w:t>
      </w:r>
      <w:r>
        <w:rPr>
          <w:sz w:val="21"/>
        </w:rPr>
        <w:t>included from Growth upward; offer it to Foundation customers as a paid add-on (suggested +$99/mo) so the smallest charities can still get the app without a full tier jump.</w:t>
      </w:r>
    </w:p>
    <w:p>
      <w:pPr>
        <w:pStyle w:val="ListBullet"/>
        <w:spacing w:after="40" w:line="264" w:lineRule="auto"/>
      </w:pPr>
      <w:r>
        <w:rPr>
          <w:b/>
        </w:rPr>
        <w:t xml:space="preserve">Marketplace —  </w:t>
      </w:r>
      <w:r>
        <w:rPr>
          <w:sz w:val="21"/>
        </w:rPr>
        <w:t>keep the Policy Template Marketplace as à-la-carte one-off purchases on every tier — incremental revenue that does not complicate the tier matrix.</w:t>
      </w:r>
    </w:p>
    <w:p>
      <w:pPr>
        <w:pStyle w:val="ListBullet"/>
        <w:spacing w:after="40" w:line="264" w:lineRule="auto"/>
      </w:pPr>
      <w:r>
        <w:rPr>
          <w:b/>
        </w:rPr>
        <w:t xml:space="preserve">Close the leak —  </w:t>
      </w:r>
      <w:r>
        <w:rPr>
          <w:sz w:val="21"/>
        </w:rPr>
        <w:t>re-homing Grants &amp; Donors, Project Delivery and Marketing off Foundation is the single biggest lever; today those high-value modules are given away at $299.</w:t>
      </w:r>
    </w:p>
    <w:p>
      <w:pPr>
        <w:spacing w:before="240" w:after="80"/>
        <w:pBdr>
          <w:bottom w:val="single" w:sz="12" w:space="3" w:color="1F8A7E"/>
        </w:pBdr>
      </w:pPr>
      <w:r>
        <w:rPr>
          <w:b/>
          <w:color w:val="0B2545"/>
          <w:sz w:val="27"/>
        </w:rPr>
        <w:t>7.  The new plan — Growth</w:t>
      </w:r>
    </w:p>
    <w:p>
      <w:pPr>
        <w:spacing w:after="80"/>
      </w:pPr>
      <w:r>
        <w:rPr>
          <w:b w:val="0"/>
          <w:i w:val="0"/>
          <w:color w:val="222A33"/>
          <w:sz w:val="21"/>
        </w:rPr>
        <w:t>A complete fourth public tier, positioned between Foundation and Professional. It targets growing charities ($500K–$1.5M) that have outgrown governance-only Foundation and need fundraising, delivery, marketing, volunteers, mobile and chat — but not yet the full finance/accounting and HR suite.</w:t>
      </w:r>
    </w:p>
    <w:tbl>
      <w:tblPr>
        <w:tblStyle w:val="TableGrid"/>
        <w:tblW w:type="auto" w:w="0"/>
        <w:jc w:val="center"/>
        <w:tblLook w:firstColumn="1" w:firstRow="1" w:lastColumn="0" w:lastRow="0" w:noHBand="0" w:noVBand="1" w:val="04A0"/>
      </w:tblPr>
      <w:tblGrid>
        <w:gridCol w:w="5100"/>
        <w:gridCol w:w="5100"/>
      </w:tblGrid>
      <w:tr>
        <w:tc>
          <w:tcPr>
            <w:tcW w:type="dxa" w:w="3175"/>
            <w:shd w:val="clear" w:color="auto" w:fill="1F8A7E"/>
          </w:tcPr>
          <w:p>
            <w:pPr>
              <w:spacing w:after="20" w:before="20"/>
            </w:pPr>
            <w:r/>
            <w:r>
              <w:rPr>
                <w:b/>
                <w:color w:val="FFFFFF"/>
                <w:sz w:val="19"/>
              </w:rPr>
              <w:t>Attribute</w:t>
            </w:r>
          </w:p>
        </w:tc>
        <w:tc>
          <w:tcPr>
            <w:tcW w:type="dxa" w:w="6463"/>
            <w:shd w:val="clear" w:color="auto" w:fill="1F8A7E"/>
          </w:tcPr>
          <w:p>
            <w:pPr>
              <w:spacing w:after="20" w:before="20"/>
            </w:pPr>
            <w:r/>
            <w:r>
              <w:rPr>
                <w:b/>
                <w:color w:val="FFFFFF"/>
                <w:sz w:val="19"/>
              </w:rPr>
              <w:t>Value</w:t>
            </w:r>
          </w:p>
        </w:tc>
      </w:tr>
      <w:tr>
        <w:tc>
          <w:tcPr>
            <w:tcW w:type="dxa" w:w="3175"/>
          </w:tcPr>
          <w:p>
            <w:pPr>
              <w:spacing w:after="20" w:before="20"/>
            </w:pPr>
            <w:r/>
            <w:r>
              <w:rPr>
                <w:b w:val="0"/>
                <w:color w:val="222A33"/>
                <w:sz w:val="19"/>
              </w:rPr>
              <w:t>Plan code / name</w:t>
            </w:r>
          </w:p>
        </w:tc>
        <w:tc>
          <w:tcPr>
            <w:tcW w:type="dxa" w:w="6463"/>
          </w:tcPr>
          <w:p>
            <w:pPr>
              <w:spacing w:after="20" w:before="20"/>
            </w:pPr>
            <w:r/>
            <w:r>
              <w:rPr>
                <w:b w:val="0"/>
                <w:color w:val="222A33"/>
                <w:sz w:val="19"/>
              </w:rPr>
              <w:t>growth / Growth</w:t>
            </w:r>
          </w:p>
        </w:tc>
      </w:tr>
      <w:tr>
        <w:tc>
          <w:tcPr>
            <w:tcW w:type="dxa" w:w="3175"/>
            <w:shd w:val="clear" w:color="auto" w:fill="F4F7F6"/>
          </w:tcPr>
          <w:p>
            <w:pPr>
              <w:spacing w:after="20" w:before="20"/>
            </w:pPr>
            <w:r/>
            <w:r>
              <w:rPr>
                <w:b w:val="0"/>
                <w:color w:val="222A33"/>
                <w:sz w:val="19"/>
              </w:rPr>
              <w:t>Target customer</w:t>
            </w:r>
          </w:p>
        </w:tc>
        <w:tc>
          <w:tcPr>
            <w:tcW w:type="dxa" w:w="6463"/>
            <w:shd w:val="clear" w:color="auto" w:fill="F4F7F6"/>
          </w:tcPr>
          <w:p>
            <w:pPr>
              <w:spacing w:after="20" w:before="20"/>
            </w:pPr>
            <w:r/>
            <w:r>
              <w:rPr>
                <w:b w:val="0"/>
                <w:color w:val="222A33"/>
                <w:sz w:val="19"/>
              </w:rPr>
              <w:t>Growing charities ($500K–$1.5M)</w:t>
            </w:r>
          </w:p>
        </w:tc>
      </w:tr>
      <w:tr>
        <w:tc>
          <w:tcPr>
            <w:tcW w:type="dxa" w:w="3175"/>
          </w:tcPr>
          <w:p>
            <w:pPr>
              <w:spacing w:after="20" w:before="20"/>
            </w:pPr>
            <w:r/>
            <w:r>
              <w:rPr>
                <w:b w:val="0"/>
                <w:color w:val="222A33"/>
                <w:sz w:val="19"/>
              </w:rPr>
              <w:t>Monthly price (AUD)</w:t>
            </w:r>
          </w:p>
        </w:tc>
        <w:tc>
          <w:tcPr>
            <w:tcW w:type="dxa" w:w="6463"/>
          </w:tcPr>
          <w:p>
            <w:pPr>
              <w:spacing w:after="20" w:before="20"/>
            </w:pPr>
            <w:r/>
            <w:r>
              <w:rPr>
                <w:b w:val="0"/>
                <w:color w:val="222A33"/>
                <w:sz w:val="19"/>
              </w:rPr>
              <w:t>$649</w:t>
            </w:r>
          </w:p>
        </w:tc>
      </w:tr>
      <w:tr>
        <w:tc>
          <w:tcPr>
            <w:tcW w:type="dxa" w:w="3175"/>
            <w:shd w:val="clear" w:color="auto" w:fill="F4F7F6"/>
          </w:tcPr>
          <w:p>
            <w:pPr>
              <w:spacing w:after="20" w:before="20"/>
            </w:pPr>
            <w:r/>
            <w:r>
              <w:rPr>
                <w:b w:val="0"/>
                <w:color w:val="222A33"/>
                <w:sz w:val="19"/>
              </w:rPr>
              <w:t>Annual price (AUD, 10% off)</w:t>
            </w:r>
          </w:p>
        </w:tc>
        <w:tc>
          <w:tcPr>
            <w:tcW w:type="dxa" w:w="6463"/>
            <w:shd w:val="clear" w:color="auto" w:fill="F4F7F6"/>
          </w:tcPr>
          <w:p>
            <w:pPr>
              <w:spacing w:after="20" w:before="20"/>
            </w:pPr>
            <w:r/>
            <w:r>
              <w:rPr>
                <w:b w:val="0"/>
                <w:color w:val="222A33"/>
                <w:sz w:val="19"/>
              </w:rPr>
              <w:t>$7,009  (≈ $584/mo)</w:t>
            </w:r>
          </w:p>
        </w:tc>
      </w:tr>
      <w:tr>
        <w:tc>
          <w:tcPr>
            <w:tcW w:type="dxa" w:w="3175"/>
          </w:tcPr>
          <w:p>
            <w:pPr>
              <w:spacing w:after="20" w:before="20"/>
            </w:pPr>
            <w:r/>
            <w:r>
              <w:rPr>
                <w:b w:val="0"/>
                <w:color w:val="222A33"/>
                <w:sz w:val="19"/>
              </w:rPr>
              <w:t>Setup fee</w:t>
            </w:r>
          </w:p>
        </w:tc>
        <w:tc>
          <w:tcPr>
            <w:tcW w:type="dxa" w:w="6463"/>
          </w:tcPr>
          <w:p>
            <w:pPr>
              <w:spacing w:after="20" w:before="20"/>
            </w:pPr>
            <w:r/>
            <w:r>
              <w:rPr>
                <w:b w:val="0"/>
                <w:color w:val="222A33"/>
                <w:sz w:val="19"/>
              </w:rPr>
              <w:t>$1,200 monthly · waived on annual</w:t>
            </w:r>
          </w:p>
        </w:tc>
      </w:tr>
      <w:tr>
        <w:tc>
          <w:tcPr>
            <w:tcW w:type="dxa" w:w="3175"/>
            <w:shd w:val="clear" w:color="auto" w:fill="F4F7F6"/>
          </w:tcPr>
          <w:p>
            <w:pPr>
              <w:spacing w:after="20" w:before="20"/>
            </w:pPr>
            <w:r/>
            <w:r>
              <w:rPr>
                <w:b w:val="0"/>
                <w:color w:val="222A33"/>
                <w:sz w:val="19"/>
              </w:rPr>
              <w:t>Staff seats</w:t>
            </w:r>
          </w:p>
        </w:tc>
        <w:tc>
          <w:tcPr>
            <w:tcW w:type="dxa" w:w="6463"/>
            <w:shd w:val="clear" w:color="auto" w:fill="F4F7F6"/>
          </w:tcPr>
          <w:p>
            <w:pPr>
              <w:spacing w:after="20" w:before="20"/>
            </w:pPr>
            <w:r/>
            <w:r>
              <w:rPr>
                <w:b w:val="0"/>
                <w:color w:val="222A33"/>
                <w:sz w:val="19"/>
              </w:rPr>
              <w:t>12</w:t>
            </w:r>
          </w:p>
        </w:tc>
      </w:tr>
      <w:tr>
        <w:tc>
          <w:tcPr>
            <w:tcW w:type="dxa" w:w="3175"/>
          </w:tcPr>
          <w:p>
            <w:pPr>
              <w:spacing w:after="20" w:before="20"/>
            </w:pPr>
            <w:r/>
            <w:r>
              <w:rPr>
                <w:b w:val="0"/>
                <w:color w:val="222A33"/>
                <w:sz w:val="19"/>
              </w:rPr>
              <w:t>Board seats</w:t>
            </w:r>
          </w:p>
        </w:tc>
        <w:tc>
          <w:tcPr>
            <w:tcW w:type="dxa" w:w="6463"/>
          </w:tcPr>
          <w:p>
            <w:pPr>
              <w:spacing w:after="20" w:before="20"/>
            </w:pPr>
            <w:r/>
            <w:r>
              <w:rPr>
                <w:b w:val="0"/>
                <w:color w:val="222A33"/>
                <w:sz w:val="19"/>
              </w:rPr>
              <w:t>15</w:t>
            </w:r>
          </w:p>
        </w:tc>
      </w:tr>
      <w:tr>
        <w:tc>
          <w:tcPr>
            <w:tcW w:type="dxa" w:w="3175"/>
            <w:shd w:val="clear" w:color="auto" w:fill="F4F7F6"/>
          </w:tcPr>
          <w:p>
            <w:pPr>
              <w:spacing w:after="20" w:before="20"/>
            </w:pPr>
            <w:r/>
            <w:r>
              <w:rPr>
                <w:b w:val="0"/>
                <w:color w:val="222A33"/>
                <w:sz w:val="19"/>
              </w:rPr>
              <w:t>Workflows / month</w:t>
            </w:r>
          </w:p>
        </w:tc>
        <w:tc>
          <w:tcPr>
            <w:tcW w:type="dxa" w:w="6463"/>
            <w:shd w:val="clear" w:color="auto" w:fill="F4F7F6"/>
          </w:tcPr>
          <w:p>
            <w:pPr>
              <w:spacing w:after="20" w:before="20"/>
            </w:pPr>
            <w:r/>
            <w:r>
              <w:rPr>
                <w:b w:val="0"/>
                <w:color w:val="222A33"/>
                <w:sz w:val="19"/>
              </w:rPr>
              <w:t>150  (overage $1.00 / workflow)</w:t>
            </w:r>
          </w:p>
        </w:tc>
      </w:tr>
      <w:tr>
        <w:tc>
          <w:tcPr>
            <w:tcW w:type="dxa" w:w="3175"/>
          </w:tcPr>
          <w:p>
            <w:pPr>
              <w:spacing w:after="20" w:before="20"/>
            </w:pPr>
            <w:r/>
            <w:r>
              <w:rPr>
                <w:b w:val="0"/>
                <w:color w:val="222A33"/>
                <w:sz w:val="19"/>
              </w:rPr>
              <w:t>Document storage</w:t>
            </w:r>
          </w:p>
        </w:tc>
        <w:tc>
          <w:tcPr>
            <w:tcW w:type="dxa" w:w="6463"/>
          </w:tcPr>
          <w:p>
            <w:pPr>
              <w:spacing w:after="20" w:before="20"/>
            </w:pPr>
            <w:r/>
            <w:r>
              <w:rPr>
                <w:b w:val="0"/>
                <w:color w:val="222A33"/>
                <w:sz w:val="19"/>
              </w:rPr>
              <w:t>30 GB</w:t>
            </w:r>
          </w:p>
        </w:tc>
      </w:tr>
      <w:tr>
        <w:tc>
          <w:tcPr>
            <w:tcW w:type="dxa" w:w="3175"/>
            <w:shd w:val="clear" w:color="auto" w:fill="F4F7F6"/>
          </w:tcPr>
          <w:p>
            <w:pPr>
              <w:spacing w:after="20" w:before="20"/>
            </w:pPr>
            <w:r/>
            <w:r>
              <w:rPr>
                <w:b w:val="0"/>
                <w:color w:val="222A33"/>
                <w:sz w:val="19"/>
              </w:rPr>
              <w:t>API access</w:t>
            </w:r>
          </w:p>
        </w:tc>
        <w:tc>
          <w:tcPr>
            <w:tcW w:type="dxa" w:w="6463"/>
            <w:shd w:val="clear" w:color="auto" w:fill="F4F7F6"/>
          </w:tcPr>
          <w:p>
            <w:pPr>
              <w:spacing w:after="20" w:before="20"/>
            </w:pPr>
            <w:r/>
            <w:r>
              <w:rPr>
                <w:b w:val="0"/>
                <w:color w:val="222A33"/>
                <w:sz w:val="19"/>
              </w:rPr>
              <w:t>None (Enterprise only)</w:t>
            </w:r>
          </w:p>
        </w:tc>
      </w:tr>
      <w:tr>
        <w:tc>
          <w:tcPr>
            <w:tcW w:type="dxa" w:w="3175"/>
          </w:tcPr>
          <w:p>
            <w:pPr>
              <w:spacing w:after="20" w:before="20"/>
            </w:pPr>
            <w:r/>
            <w:r>
              <w:rPr>
                <w:b w:val="0"/>
                <w:color w:val="222A33"/>
                <w:sz w:val="19"/>
              </w:rPr>
              <w:t>Support</w:t>
            </w:r>
          </w:p>
        </w:tc>
        <w:tc>
          <w:tcPr>
            <w:tcW w:type="dxa" w:w="6463"/>
          </w:tcPr>
          <w:p>
            <w:pPr>
              <w:spacing w:after="20" w:before="20"/>
            </w:pPr>
            <w:r/>
            <w:r>
              <w:rPr>
                <w:b w:val="0"/>
                <w:color w:val="222A33"/>
                <w:sz w:val="19"/>
              </w:rPr>
              <w:t>Priority · 36h response</w:t>
            </w:r>
          </w:p>
        </w:tc>
      </w:tr>
      <w:tr>
        <w:tc>
          <w:tcPr>
            <w:tcW w:type="dxa" w:w="3175"/>
            <w:shd w:val="clear" w:color="auto" w:fill="F4F7F6"/>
          </w:tcPr>
          <w:p>
            <w:pPr>
              <w:spacing w:after="20" w:before="20"/>
            </w:pPr>
            <w:r/>
            <w:r>
              <w:rPr>
                <w:b w:val="0"/>
                <w:color w:val="222A33"/>
                <w:sz w:val="19"/>
              </w:rPr>
              <w:t>Trial</w:t>
            </w:r>
          </w:p>
        </w:tc>
        <w:tc>
          <w:tcPr>
            <w:tcW w:type="dxa" w:w="6463"/>
            <w:shd w:val="clear" w:color="auto" w:fill="F4F7F6"/>
          </w:tcPr>
          <w:p>
            <w:pPr>
              <w:spacing w:after="20" w:before="20"/>
            </w:pPr>
            <w:r/>
            <w:r>
              <w:rPr>
                <w:b w:val="0"/>
                <w:color w:val="222A33"/>
                <w:sz w:val="19"/>
              </w:rPr>
              <w:t>14 days, no credit card</w:t>
            </w:r>
          </w:p>
        </w:tc>
      </w:tr>
      <w:tr>
        <w:tc>
          <w:tcPr>
            <w:tcW w:type="dxa" w:w="3175"/>
          </w:tcPr>
          <w:p>
            <w:pPr>
              <w:spacing w:after="20" w:before="20"/>
            </w:pPr>
            <w:r/>
            <w:r>
              <w:rPr>
                <w:b w:val="0"/>
                <w:color w:val="222A33"/>
                <w:sz w:val="19"/>
              </w:rPr>
              <w:t>Sort order</w:t>
            </w:r>
          </w:p>
        </w:tc>
        <w:tc>
          <w:tcPr>
            <w:tcW w:type="dxa" w:w="6463"/>
          </w:tcPr>
          <w:p>
            <w:pPr>
              <w:spacing w:after="20" w:before="20"/>
            </w:pPr>
            <w:r/>
            <w:r>
              <w:rPr>
                <w:b w:val="0"/>
                <w:color w:val="222A33"/>
                <w:sz w:val="19"/>
              </w:rPr>
              <w:t>15 (between Foundation 10 and Professional 20)</w:t>
            </w:r>
          </w:p>
        </w:tc>
      </w:tr>
      <w:tr>
        <w:tc>
          <w:tcPr>
            <w:tcW w:type="dxa" w:w="3175"/>
            <w:shd w:val="clear" w:color="auto" w:fill="F4F7F6"/>
          </w:tcPr>
          <w:p>
            <w:pPr>
              <w:spacing w:after="20" w:before="20"/>
            </w:pPr>
            <w:r/>
            <w:r>
              <w:rPr>
                <w:b w:val="0"/>
                <w:color w:val="222A33"/>
                <w:sz w:val="19"/>
              </w:rPr>
              <w:t>Included modules (beyond Foundation)</w:t>
            </w:r>
          </w:p>
        </w:tc>
        <w:tc>
          <w:tcPr>
            <w:tcW w:type="dxa" w:w="6463"/>
            <w:shd w:val="clear" w:color="auto" w:fill="F4F7F6"/>
          </w:tcPr>
          <w:p>
            <w:pPr>
              <w:spacing w:after="20" w:before="20"/>
            </w:pPr>
            <w:r/>
            <w:r>
              <w:rPr>
                <w:b w:val="0"/>
                <w:color w:val="222A33"/>
                <w:sz w:val="19"/>
              </w:rPr>
              <w:t>Fundraising &amp; Donor Management; Project &amp; Grant Delivery; Marketing &amp; Social Campaigns; Volunteer Management; Mobile app; Team Chat</w:t>
            </w:r>
          </w:p>
        </w:tc>
      </w:tr>
      <w:tr>
        <w:tc>
          <w:tcPr>
            <w:tcW w:type="dxa" w:w="3175"/>
          </w:tcPr>
          <w:p>
            <w:pPr>
              <w:spacing w:after="20" w:before="20"/>
            </w:pPr>
            <w:r/>
            <w:r>
              <w:rPr>
                <w:b w:val="0"/>
                <w:color w:val="222A33"/>
                <w:sz w:val="19"/>
              </w:rPr>
              <w:t>Not included (Professional+)</w:t>
            </w:r>
          </w:p>
        </w:tc>
        <w:tc>
          <w:tcPr>
            <w:tcW w:type="dxa" w:w="6463"/>
          </w:tcPr>
          <w:p>
            <w:pPr>
              <w:spacing w:after="20" w:before="20"/>
            </w:pPr>
            <w:r/>
            <w:r>
              <w:rPr>
                <w:b w:val="0"/>
                <w:color w:val="222A33"/>
                <w:sz w:val="19"/>
              </w:rPr>
              <w:t>Full finance suite, Partner/Donor Vetting, People &amp; HR, AI Assistant, Systems/Supplier/Insurance registers</w:t>
            </w:r>
          </w:p>
        </w:tc>
      </w:tr>
    </w:tbl>
    <w:p>
      <w:pPr>
        <w:spacing w:after="60"/>
      </w:pPr>
      <w:r>
        <w:rPr>
          <w:b/>
          <w:i w:val="0"/>
          <w:color w:val="222A33"/>
          <w:sz w:val="20"/>
        </w:rPr>
        <w:t>Drop-in template for src/utils/defaultPlans.js (DEFAULT_PLANS), mirroring the existing shape:</w:t>
      </w:r>
    </w:p>
    <w:p>
      <w:pPr>
        <w:spacing w:after="80"/>
      </w:pPr>
      <w:r>
        <w:rPr>
          <w:rFonts w:ascii="Consolas" w:hAnsi="Consolas"/>
          <w:color w:val="0B2545"/>
          <w:sz w:val="17"/>
        </w:rPr>
        <w:t>{</w:t>
        <w:br/>
        <w:t xml:space="preserve">  code: 'growth', name: 'Growth', visibility: 'public', status: 'active',</w:t>
        <w:br/>
        <w:t xml:space="preserve">  pricing: { monthlyAUD: 649, annualAUD: 7009, annualDiscountPct: 10,</w:t>
        <w:br/>
        <w:t xml:space="preserve">             setupFeeMonthlyAUD: 1200, setupFeeAnnualAUD: 0,</w:t>
        <w:br/>
        <w:t xml:space="preserve">             overagePerWorkflowAUD: 1.00, currency: 'AUD' },</w:t>
        <w:br/>
        <w:t xml:space="preserve">  limits: { staffSeats: 12, boardSeats: 15, workflowsPerMonth: 150,</w:t>
        <w:br/>
        <w:t xml:space="preserve">            storageGB: 30, apiCallsPerDay: 0, customWorkflows: 0,</w:t>
        <w:br/>
        <w:t xml:space="preserve">            childEntities: 0, softCapPct: 80, hardCapPct: 100 },</w:t>
        <w:br/>
        <w:t xml:space="preserve">  feature_flags: flagsForTier('G'),   // Foundation set + the 6 new G-tier flags</w:t>
        <w:br/>
        <w:t xml:space="preserve">  support: { channel: 'priority', responseSLAHours: 36, uptimeSLAPct: null },</w:t>
        <w:br/>
        <w:t xml:space="preserve">  trial_days: 14,</w:t>
        <w:br/>
        <w:t xml:space="preserve">  metadata: { description: 'Growing charities ($500K-$1.5M)',</w:t>
        <w:br/>
        <w:t xml:space="preserve">              targetCustomer: 'Growing charities ($500K-$1.5M)', sortOrder: 15 }</w:t>
        <w:br/>
        <w:t>}</w:t>
      </w:r>
    </w:p>
    <w:p>
      <w:pPr>
        <w:spacing w:after="40"/>
      </w:pPr>
      <w:r>
        <w:rPr>
          <w:b w:val="0"/>
          <w:i/>
          <w:color w:val="5A6675"/>
          <w:sz w:val="19"/>
        </w:rPr>
        <w:t>Implementation requires adding the 'G' tier letter to the feature-flag tuples for the six Growth modules so flagsForTier('G') resolves correctly.</w:t>
      </w:r>
    </w:p>
    <w:p>
      <w:pPr>
        <w:spacing w:before="240" w:after="80"/>
        <w:pBdr>
          <w:bottom w:val="single" w:sz="12" w:space="3" w:color="1F8A7E"/>
        </w:pBdr>
      </w:pPr>
      <w:r>
        <w:rPr>
          <w:b/>
          <w:color w:val="0B2545"/>
          <w:sz w:val="27"/>
        </w:rPr>
        <w:t>8.  Implementation &amp; migration notes</w:t>
      </w:r>
    </w:p>
    <w:p>
      <w:pPr>
        <w:pStyle w:val="ListBullet"/>
        <w:spacing w:after="40" w:line="264" w:lineRule="auto"/>
      </w:pPr>
      <w:r>
        <w:rPr>
          <w:sz w:val="21"/>
        </w:rPr>
        <w:t>Add the 11 proposed flags to the FeatureFlag catalogue (seedAdminCatalogue.js and defaultPlans.js) with the tier letters above; introduce a 'G' tier letter.</w:t>
      </w:r>
    </w:p>
    <w:p>
      <w:pPr>
        <w:pStyle w:val="ListBullet"/>
        <w:spacing w:after="40" w:line="264" w:lineRule="auto"/>
      </w:pPr>
      <w:r>
        <w:rPr>
          <w:sz w:val="21"/>
        </w:rPr>
        <w:t>Re-gate the relevant routes: donation/donor/funding/project routes → fundraising/delivery flags; social media → marketing flag; volunteers → people.volunteers; chat → collaboration.chat; mobile API surface → mobile.access.</w:t>
      </w:r>
    </w:p>
    <w:p>
      <w:pPr>
        <w:pStyle w:val="ListBullet"/>
        <w:spacing w:after="40" w:line="264" w:lineRule="auto"/>
      </w:pPr>
      <w:r>
        <w:rPr>
          <w:sz w:val="21"/>
        </w:rPr>
        <w:t>Materialise the Growth plan and reconcile the three conflicting plan sources into one (delete the legacy initRouterDB plans; align annual prices).</w:t>
      </w:r>
    </w:p>
    <w:p>
      <w:pPr>
        <w:pStyle w:val="ListBullet"/>
        <w:spacing w:after="40" w:line="264" w:lineRule="auto"/>
      </w:pPr>
      <w:r>
        <w:rPr>
          <w:sz w:val="21"/>
        </w:rPr>
        <w:t>Removing modules from Foundation is a quota reduction on an active tier — route it through the two-person approval rule and choose 'do not migrate existing tenants' so current customers keep what they have.</w:t>
      </w:r>
    </w:p>
    <w:p>
      <w:pPr>
        <w:pStyle w:val="ListBullet"/>
        <w:spacing w:after="40" w:line="264" w:lineRule="auto"/>
      </w:pPr>
      <w:r>
        <w:rPr>
          <w:sz w:val="21"/>
        </w:rPr>
        <w:t>Create Stripe products/prices for Growth and the mobile add-on; wire the marketplace as one-off prices (already supported).</w:t>
      </w:r>
    </w:p>
    <w:p>
      <w:pPr>
        <w:spacing w:before="240" w:after="80"/>
        <w:pBdr>
          <w:bottom w:val="single" w:sz="12" w:space="3" w:color="1F8A7E"/>
        </w:pBdr>
      </w:pPr>
      <w:r>
        <w:rPr>
          <w:b/>
          <w:color w:val="0B2545"/>
          <w:sz w:val="27"/>
        </w:rPr>
        <w:t>9.  Open questions</w:t>
      </w:r>
    </w:p>
    <w:p>
      <w:pPr>
        <w:pStyle w:val="ListBullet"/>
        <w:spacing w:after="40" w:line="264" w:lineRule="auto"/>
      </w:pPr>
      <w:r>
        <w:rPr>
          <w:sz w:val="21"/>
        </w:rPr>
        <w:t>Growth price point — $649/mo confirmed, or position closer to $499 / $749?</w:t>
      </w:r>
    </w:p>
    <w:p>
      <w:pPr>
        <w:pStyle w:val="ListBullet"/>
        <w:spacing w:after="40" w:line="264" w:lineRule="auto"/>
      </w:pPr>
      <w:r>
        <w:rPr>
          <w:sz w:val="21"/>
        </w:rPr>
        <w:t>Mobile app — included from Growth as proposed, or also bundled into Foundation to drive adoption?</w:t>
      </w:r>
    </w:p>
    <w:p>
      <w:pPr>
        <w:pStyle w:val="ListBullet"/>
        <w:spacing w:after="40" w:line="264" w:lineRule="auto"/>
      </w:pPr>
      <w:r>
        <w:rPr>
          <w:sz w:val="21"/>
        </w:rPr>
        <w:t>Should Volunteer Management stay inside People &amp; HR on Professional, or always be the standalone flag?</w:t>
      </w:r>
    </w:p>
    <w:p>
      <w:pPr>
        <w:pStyle w:val="ListBullet"/>
        <w:spacing w:after="40" w:line="264" w:lineRule="auto"/>
      </w:pPr>
      <w:r>
        <w:rPr>
          <w:sz w:val="21"/>
        </w:rPr>
        <w:t>Do we want a low-end 'Starter' tier (below Foundation) for micro-charities, in addition to Growth?</w:t>
      </w:r>
    </w:p>
    <w:p>
      <w:pPr>
        <w:pStyle w:val="ListBullet"/>
        <w:spacing w:after="40" w:line="264" w:lineRule="auto"/>
      </w:pPr>
      <w:r>
        <w:rPr>
          <w:sz w:val="21"/>
        </w:rPr>
        <w:t>Marketplace — keep per-template pricing, or offer a template bundle as a Growth/Professional inclusion?</w:t>
      </w:r>
    </w:p>
    <w:p>
      <w:pPr>
        <w:spacing w:before="200"/>
        <w:jc w:val="center"/>
      </w:pPr>
      <w:r>
        <w:rPr>
          <w:color w:val="5A6675"/>
          <w:sz w:val="16"/>
        </w:rPr>
        <w:t>Stewardex · Pricing Tier Update v1.1 · Confidential — Internal</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222A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