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44"/>
        </w:rPr>
        <w:t>CHARITY POLICY TEMPLATE LIBRARY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6"/>
        </w:rPr>
        <w:t>Catalogue &amp; Index</w:t>
      </w:r>
    </w:p>
    <w:p/>
    <w:p>
      <w:r>
        <w:rPr>
          <w:sz w:val="22"/>
        </w:rPr>
        <w:t>This library contains ready-to-use charity governance policy templates aligned to the Australian regulatory framework (ACNC, ASIC, ATO, OAIC and state/territory requirements). Each template is provided as an editable Microsoft Word document with no branding, so it can be adopted by any organisation.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How to use these templates</w:t>
      </w:r>
    </w:p>
    <w:p>
      <w:pPr>
        <w:pStyle w:val="ListBullet"/>
        <w:spacing w:after="60"/>
      </w:pPr>
      <w:r>
        <w:t>Replace every bracketed placeholder — for example [Organisation Name], [Position Title], [Date] and [Contact Details] — with your organisation's details.</w:t>
      </w:r>
    </w:p>
    <w:p>
      <w:pPr>
        <w:pStyle w:val="ListBullet"/>
        <w:spacing w:after="60"/>
      </w:pPr>
      <w:r>
        <w:t>Complete the Document Control table at the top of each policy (owner, version, effective date and next review date).</w:t>
      </w:r>
    </w:p>
    <w:p>
      <w:pPr>
        <w:pStyle w:val="ListBullet"/>
        <w:spacing w:after="60"/>
      </w:pPr>
      <w:r>
        <w:t>Review the content against your operations and obtain professional or legal advice where appropriate before adoption.</w:t>
      </w:r>
    </w:p>
    <w:p>
      <w:pPr>
        <w:pStyle w:val="ListBullet"/>
        <w:spacing w:after="60"/>
      </w:pPr>
      <w:r>
        <w:t>Record approval in the Approval &amp; Acknowledgement block and log changes in the Version History table.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0 — Charity Foundations &amp; Administration  (4)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Charity Governing Documents Policy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Charity Licences and Registrations Policy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Income Tax Exemptions Policy</w:t>
      </w:r>
    </w:p>
    <w:p>
      <w:pPr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</w:rPr>
        <w:t>Privacy Policy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Add-Ons — Cross-Cutting Policies  (3)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Child Protection Policy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Child Protection and Safety Procedure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Constitution and By-laws (Template)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1 — Document &amp; Policy Control  (1)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Document Control and Policies Register Policy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2 — People &amp; Governance  (23)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Ambassador Induction Procedure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Board Conflict of Interest Policy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Board Conflict of Interest Register Policy</w:t>
      </w:r>
    </w:p>
    <w:p>
      <w:pPr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</w:rPr>
        <w:t>Board of Directors Policy</w:t>
      </w:r>
    </w:p>
    <w:p>
      <w:pPr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</w:rPr>
        <w:t>Charity Ambassador Insurance Obligations Policy</w:t>
      </w:r>
    </w:p>
    <w:p>
      <w:pPr>
        <w:spacing w:after="4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sz w:val="22"/>
        </w:rPr>
        <w:t>Conflict of Interest Policy (Staff and Volunteers)</w:t>
      </w:r>
    </w:p>
    <w:p>
      <w:pPr>
        <w:spacing w:after="4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sz w:val="22"/>
        </w:rPr>
        <w:t>Consultant Induction Procedure</w:t>
      </w:r>
    </w:p>
    <w:p>
      <w:pPr>
        <w:spacing w:after="4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sz w:val="22"/>
        </w:rPr>
        <w:t>Director Induction Procedure</w:t>
      </w:r>
    </w:p>
    <w:p>
      <w:pPr>
        <w:spacing w:after="4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sz w:val="22"/>
        </w:rPr>
        <w:t>Directors Handbook</w:t>
      </w:r>
    </w:p>
    <w:p>
      <w:pPr>
        <w:spacing w:after="4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sz w:val="22"/>
        </w:rPr>
        <w:t>Duties of Responsible Persons Policy</w:t>
      </w:r>
    </w:p>
    <w:p>
      <w:pPr>
        <w:spacing w:after="40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sz w:val="22"/>
        </w:rPr>
        <w:t>Employee Induction Procedure</w:t>
      </w:r>
    </w:p>
    <w:p>
      <w:pPr>
        <w:spacing w:after="40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sz w:val="22"/>
        </w:rPr>
        <w:t>Equal Employment Opportunity (EEO) Policy</w:t>
      </w:r>
    </w:p>
    <w:p>
      <w:pPr>
        <w:spacing w:after="40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sz w:val="22"/>
        </w:rPr>
        <w:t>Field Implementation Partner (FIP) Induction Procedure</w:t>
      </w:r>
    </w:p>
    <w:p>
      <w:pPr>
        <w:spacing w:after="40"/>
      </w:pPr>
      <w:r>
        <w:rPr>
          <w:rFonts w:ascii="Calibri" w:hAnsi="Calibri"/>
          <w:sz w:val="22"/>
        </w:rPr>
        <w:t xml:space="preserve">14. </w:t>
      </w:r>
      <w:r>
        <w:rPr>
          <w:rFonts w:ascii="Calibri" w:hAnsi="Calibri"/>
          <w:sz w:val="22"/>
        </w:rPr>
        <w:t>Governance (Board and Committee) Charter</w:t>
      </w:r>
    </w:p>
    <w:p>
      <w:pPr>
        <w:spacing w:after="40"/>
      </w:pPr>
      <w:r>
        <w:rPr>
          <w:rFonts w:ascii="Calibri" w:hAnsi="Calibri"/>
          <w:sz w:val="22"/>
        </w:rPr>
        <w:t xml:space="preserve">15. </w:t>
      </w:r>
      <w:r>
        <w:rPr>
          <w:rFonts w:ascii="Calibri" w:hAnsi="Calibri"/>
          <w:sz w:val="22"/>
        </w:rPr>
        <w:t>Grievance and Dispute Resolution Policy</w:t>
      </w:r>
    </w:p>
    <w:p>
      <w:pPr>
        <w:spacing w:after="40"/>
      </w:pPr>
      <w:r>
        <w:rPr>
          <w:rFonts w:ascii="Calibri" w:hAnsi="Calibri"/>
          <w:sz w:val="22"/>
        </w:rPr>
        <w:t xml:space="preserve">16. </w:t>
      </w:r>
      <w:r>
        <w:rPr>
          <w:rFonts w:ascii="Calibri" w:hAnsi="Calibri"/>
          <w:sz w:val="22"/>
        </w:rPr>
        <w:t>Key Persons and Authorised Officers Induction Procedure</w:t>
      </w:r>
    </w:p>
    <w:p>
      <w:pPr>
        <w:spacing w:after="40"/>
      </w:pPr>
      <w:r>
        <w:rPr>
          <w:rFonts w:ascii="Calibri" w:hAnsi="Calibri"/>
          <w:sz w:val="22"/>
        </w:rPr>
        <w:t xml:space="preserve">17. </w:t>
      </w:r>
      <w:r>
        <w:rPr>
          <w:rFonts w:ascii="Calibri" w:hAnsi="Calibri"/>
          <w:sz w:val="22"/>
        </w:rPr>
        <w:t>Suitability of Responsible Persons Policy</w:t>
      </w:r>
    </w:p>
    <w:p>
      <w:pPr>
        <w:spacing w:after="40"/>
      </w:pPr>
      <w:r>
        <w:rPr>
          <w:rFonts w:ascii="Calibri" w:hAnsi="Calibri"/>
          <w:sz w:val="22"/>
        </w:rPr>
        <w:t xml:space="preserve">18. </w:t>
      </w:r>
      <w:r>
        <w:rPr>
          <w:rFonts w:ascii="Calibri" w:hAnsi="Calibri"/>
          <w:sz w:val="22"/>
        </w:rPr>
        <w:t>Volunteer Engagement Policy</w:t>
      </w:r>
    </w:p>
    <w:p>
      <w:pPr>
        <w:spacing w:after="40"/>
      </w:pPr>
      <w:r>
        <w:rPr>
          <w:rFonts w:ascii="Calibri" w:hAnsi="Calibri"/>
          <w:sz w:val="22"/>
        </w:rPr>
        <w:t xml:space="preserve">19. </w:t>
      </w:r>
      <w:r>
        <w:rPr>
          <w:rFonts w:ascii="Calibri" w:hAnsi="Calibri"/>
          <w:sz w:val="22"/>
        </w:rPr>
        <w:t>Volunteer Engagement Processes and Documentation Policy</w:t>
      </w:r>
    </w:p>
    <w:p>
      <w:pPr>
        <w:spacing w:after="40"/>
      </w:pPr>
      <w:r>
        <w:rPr>
          <w:rFonts w:ascii="Calibri" w:hAnsi="Calibri"/>
          <w:sz w:val="22"/>
        </w:rPr>
        <w:t xml:space="preserve">20. </w:t>
      </w:r>
      <w:r>
        <w:rPr>
          <w:rFonts w:ascii="Calibri" w:hAnsi="Calibri"/>
          <w:sz w:val="22"/>
        </w:rPr>
        <w:t>Volunteer Engagement Weekly Stats Reporting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21. </w:t>
      </w:r>
      <w:r>
        <w:rPr>
          <w:rFonts w:ascii="Calibri" w:hAnsi="Calibri"/>
          <w:sz w:val="22"/>
        </w:rPr>
        <w:t>Volunteer Induction Procedure</w:t>
      </w:r>
    </w:p>
    <w:p>
      <w:pPr>
        <w:spacing w:after="40"/>
      </w:pPr>
      <w:r>
        <w:rPr>
          <w:rFonts w:ascii="Calibri" w:hAnsi="Calibri"/>
          <w:sz w:val="22"/>
        </w:rPr>
        <w:t xml:space="preserve">22. </w:t>
      </w:r>
      <w:r>
        <w:rPr>
          <w:rFonts w:ascii="Calibri" w:hAnsi="Calibri"/>
          <w:sz w:val="22"/>
        </w:rPr>
        <w:t>Volunteer Register Policy</w:t>
      </w:r>
    </w:p>
    <w:p>
      <w:pPr>
        <w:spacing w:after="40"/>
      </w:pPr>
      <w:r>
        <w:rPr>
          <w:rFonts w:ascii="Calibri" w:hAnsi="Calibri"/>
          <w:sz w:val="22"/>
        </w:rPr>
        <w:t xml:space="preserve">23. </w:t>
      </w:r>
      <w:r>
        <w:rPr>
          <w:rFonts w:ascii="Calibri" w:hAnsi="Calibri"/>
          <w:sz w:val="22"/>
        </w:rPr>
        <w:t>Volunteer Training Guidelines Policy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3 — Operations &amp; Programs  (22)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Allocation of Funding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Due Diligence, Screening, Processing and Documentation Policy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Expression of Interest (EOI) for Field Implementation Partners Tender Process Policy</w:t>
      </w:r>
    </w:p>
    <w:p>
      <w:pPr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</w:rPr>
        <w:t>Field Implementation Partner Records and Review Policy</w:t>
      </w:r>
    </w:p>
    <w:p>
      <w:pPr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</w:rPr>
        <w:t>Field Media Project Delivery Evidence Policy</w:t>
      </w:r>
    </w:p>
    <w:p>
      <w:pPr>
        <w:spacing w:after="4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sz w:val="22"/>
        </w:rPr>
        <w:t>Financial Information (FIP) Weekly Reporting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sz w:val="22"/>
        </w:rPr>
        <w:t>Funding Agreement Management Policy</w:t>
      </w:r>
    </w:p>
    <w:p>
      <w:pPr>
        <w:spacing w:after="4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sz w:val="22"/>
        </w:rPr>
        <w:t>Fundraising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sz w:val="22"/>
        </w:rPr>
        <w:t>Health and Safety Policy</w:t>
      </w:r>
    </w:p>
    <w:p>
      <w:pPr>
        <w:spacing w:after="4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sz w:val="22"/>
        </w:rPr>
        <w:t>Identification of Projects Policy</w:t>
      </w:r>
    </w:p>
    <w:p>
      <w:pPr>
        <w:spacing w:after="40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sz w:val="22"/>
        </w:rPr>
        <w:t>Identifying and Engaging with Field Implementation Partners Policy</w:t>
      </w:r>
    </w:p>
    <w:p>
      <w:pPr>
        <w:spacing w:after="40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sz w:val="22"/>
        </w:rPr>
        <w:t>International Programs Management Policy</w:t>
      </w:r>
    </w:p>
    <w:p>
      <w:pPr>
        <w:spacing w:after="40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sz w:val="22"/>
        </w:rPr>
        <w:t>Live Complaints Management Tracker Policy</w:t>
      </w:r>
    </w:p>
    <w:p>
      <w:pPr>
        <w:spacing w:after="40"/>
      </w:pPr>
      <w:r>
        <w:rPr>
          <w:rFonts w:ascii="Calibri" w:hAnsi="Calibri"/>
          <w:sz w:val="22"/>
        </w:rPr>
        <w:t xml:space="preserve">14. </w:t>
      </w:r>
      <w:r>
        <w:rPr>
          <w:rFonts w:ascii="Calibri" w:hAnsi="Calibri"/>
          <w:sz w:val="22"/>
        </w:rPr>
        <w:t>Monitoring Field Implementation Partners Policy</w:t>
      </w:r>
    </w:p>
    <w:p>
      <w:pPr>
        <w:spacing w:after="40"/>
      </w:pPr>
      <w:r>
        <w:rPr>
          <w:rFonts w:ascii="Calibri" w:hAnsi="Calibri"/>
          <w:sz w:val="22"/>
        </w:rPr>
        <w:t xml:space="preserve">15. </w:t>
      </w:r>
      <w:r>
        <w:rPr>
          <w:rFonts w:ascii="Calibri" w:hAnsi="Calibri"/>
          <w:sz w:val="22"/>
        </w:rPr>
        <w:t>Non-Conformance and Complaints Management Register Policy</w:t>
      </w:r>
    </w:p>
    <w:p>
      <w:pPr>
        <w:spacing w:after="40"/>
      </w:pPr>
      <w:r>
        <w:rPr>
          <w:rFonts w:ascii="Calibri" w:hAnsi="Calibri"/>
          <w:sz w:val="22"/>
        </w:rPr>
        <w:t xml:space="preserve">16. </w:t>
      </w:r>
      <w:r>
        <w:rPr>
          <w:rFonts w:ascii="Calibri" w:hAnsi="Calibri"/>
          <w:sz w:val="22"/>
        </w:rPr>
        <w:t>Operational Financial Acquittal Reports (Project Monitoring and Reporting) Policy</w:t>
      </w:r>
    </w:p>
    <w:p>
      <w:pPr>
        <w:spacing w:after="40"/>
      </w:pPr>
      <w:r>
        <w:rPr>
          <w:rFonts w:ascii="Calibri" w:hAnsi="Calibri"/>
          <w:sz w:val="22"/>
        </w:rPr>
        <w:t xml:space="preserve">17. </w:t>
      </w:r>
      <w:r>
        <w:rPr>
          <w:rFonts w:ascii="Calibri" w:hAnsi="Calibri"/>
          <w:sz w:val="22"/>
        </w:rPr>
        <w:t>Operational Procedures Policy</w:t>
      </w:r>
    </w:p>
    <w:p>
      <w:pPr>
        <w:spacing w:after="40"/>
      </w:pPr>
      <w:r>
        <w:rPr>
          <w:rFonts w:ascii="Calibri" w:hAnsi="Calibri"/>
          <w:sz w:val="22"/>
        </w:rPr>
        <w:t xml:space="preserve">18. </w:t>
      </w:r>
      <w:r>
        <w:rPr>
          <w:rFonts w:ascii="Calibri" w:hAnsi="Calibri"/>
          <w:sz w:val="22"/>
        </w:rPr>
        <w:t>Operational Record Keeping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19. </w:t>
      </w:r>
      <w:r>
        <w:rPr>
          <w:rFonts w:ascii="Calibri" w:hAnsi="Calibri"/>
          <w:sz w:val="22"/>
        </w:rPr>
        <w:t>Operations Policy</w:t>
      </w:r>
    </w:p>
    <w:p>
      <w:pPr>
        <w:spacing w:after="40"/>
      </w:pPr>
      <w:r>
        <w:rPr>
          <w:rFonts w:ascii="Calibri" w:hAnsi="Calibri"/>
          <w:sz w:val="22"/>
        </w:rPr>
        <w:t xml:space="preserve">20. </w:t>
      </w:r>
      <w:r>
        <w:rPr>
          <w:rFonts w:ascii="Calibri" w:hAnsi="Calibri"/>
          <w:sz w:val="22"/>
        </w:rPr>
        <w:t>Record-Keeping Policy for Field Implementation Partners</w:t>
      </w:r>
    </w:p>
    <w:p>
      <w:pPr>
        <w:spacing w:after="40"/>
      </w:pPr>
      <w:r>
        <w:rPr>
          <w:rFonts w:ascii="Calibri" w:hAnsi="Calibri"/>
          <w:sz w:val="22"/>
        </w:rPr>
        <w:t xml:space="preserve">21. </w:t>
      </w:r>
      <w:r>
        <w:rPr>
          <w:rFonts w:ascii="Calibri" w:hAnsi="Calibri"/>
          <w:sz w:val="22"/>
        </w:rPr>
        <w:t>Safeguarding Policy and Code of Conduct</w:t>
      </w:r>
    </w:p>
    <w:p>
      <w:pPr>
        <w:spacing w:after="40"/>
      </w:pPr>
      <w:r>
        <w:rPr>
          <w:rFonts w:ascii="Calibri" w:hAnsi="Calibri"/>
          <w:sz w:val="22"/>
        </w:rPr>
        <w:t xml:space="preserve">22. </w:t>
      </w:r>
      <w:r>
        <w:rPr>
          <w:rFonts w:ascii="Calibri" w:hAnsi="Calibri"/>
          <w:sz w:val="22"/>
        </w:rPr>
        <w:t>Training Policy for Staff, Field Implementation Partners and Influencers-Field Visitors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4 — Finance  (15)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AML CTF and Anti-Financial Fraud Policy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Accounting Period Closure Policy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Acquittal Refunds Policy</w:t>
      </w:r>
    </w:p>
    <w:p>
      <w:pPr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</w:rPr>
        <w:t>Approval for Sweeping Funds from Online Portal Policy</w:t>
      </w:r>
    </w:p>
    <w:p>
      <w:pPr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</w:rPr>
        <w:t>BAS Lodgement Policy</w:t>
      </w:r>
    </w:p>
    <w:p>
      <w:pPr>
        <w:spacing w:after="4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sz w:val="22"/>
        </w:rPr>
        <w:t>Bank and Platform Authorisations Policy</w:t>
      </w:r>
    </w:p>
    <w:p>
      <w:pPr>
        <w:spacing w:after="4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sz w:val="22"/>
        </w:rPr>
        <w:t>Cash Handling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sz w:val="22"/>
        </w:rPr>
        <w:t>Financial Record Keeping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sz w:val="22"/>
        </w:rPr>
        <w:t>Invoice Approval Policy</w:t>
      </w:r>
    </w:p>
    <w:p>
      <w:pPr>
        <w:spacing w:after="4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sz w:val="22"/>
        </w:rPr>
        <w:t>Maintenance of Accounting Software Policy</w:t>
      </w:r>
    </w:p>
    <w:p>
      <w:pPr>
        <w:spacing w:after="40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sz w:val="22"/>
        </w:rPr>
        <w:t>Month-End Process Policy</w:t>
      </w:r>
    </w:p>
    <w:p>
      <w:pPr>
        <w:spacing w:after="40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sz w:val="22"/>
        </w:rPr>
        <w:t>Payment Approval Policy</w:t>
      </w:r>
    </w:p>
    <w:p>
      <w:pPr>
        <w:spacing w:after="40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sz w:val="22"/>
        </w:rPr>
        <w:t>Refund Requests Policy</w:t>
      </w:r>
    </w:p>
    <w:p>
      <w:pPr>
        <w:spacing w:after="40"/>
      </w:pPr>
      <w:r>
        <w:rPr>
          <w:rFonts w:ascii="Calibri" w:hAnsi="Calibri"/>
          <w:sz w:val="22"/>
        </w:rPr>
        <w:t xml:space="preserve">14. </w:t>
      </w:r>
      <w:r>
        <w:rPr>
          <w:rFonts w:ascii="Calibri" w:hAnsi="Calibri"/>
          <w:sz w:val="22"/>
        </w:rPr>
        <w:t>Use of Bank Cards Policy</w:t>
      </w:r>
    </w:p>
    <w:p>
      <w:pPr>
        <w:spacing w:after="40"/>
      </w:pPr>
      <w:r>
        <w:rPr>
          <w:rFonts w:ascii="Calibri" w:hAnsi="Calibri"/>
          <w:sz w:val="22"/>
        </w:rPr>
        <w:t xml:space="preserve">15. </w:t>
      </w:r>
      <w:r>
        <w:rPr>
          <w:rFonts w:ascii="Calibri" w:hAnsi="Calibri"/>
          <w:sz w:val="22"/>
        </w:rPr>
        <w:t>Year-End Financial Process Policy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5 — Marketing  (7)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Marketing Compliance Resources Register Policy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Marketing Performance Review Policy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Marketing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</w:rPr>
        <w:t>Marketing Training Resources and Records Policy</w:t>
      </w:r>
    </w:p>
    <w:p>
      <w:pPr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</w:rPr>
        <w:t>Marketing Weekly Reporting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sz w:val="22"/>
        </w:rPr>
        <w:t>Social Media Account Details and Access Policy</w:t>
      </w:r>
    </w:p>
    <w:p>
      <w:pPr>
        <w:spacing w:after="4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sz w:val="22"/>
        </w:rPr>
        <w:t>Social Media Compliance Policy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6 — Relationships &amp; Donor Care  (13)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Charity Donation Box Policy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Charity Donation Box Registration Policy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Community Sponsorship Register and Tracker Policy</w:t>
      </w:r>
    </w:p>
    <w:p>
      <w:pPr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</w:rPr>
        <w:t>Community Sponsorship, Processes and MoUs Policy</w:t>
      </w:r>
    </w:p>
    <w:p>
      <w:pPr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</w:rPr>
        <w:t>Community Sponsorships Ad Hoc Reporting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sz w:val="22"/>
        </w:rPr>
        <w:t>Community Sponsorships Relationships Compliance and Register Policy</w:t>
      </w:r>
    </w:p>
    <w:p>
      <w:pPr>
        <w:spacing w:after="4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sz w:val="22"/>
        </w:rPr>
        <w:t>Community Sponsorships Volunteer Training Records Policy</w:t>
      </w:r>
    </w:p>
    <w:p>
      <w:pPr>
        <w:spacing w:after="4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sz w:val="22"/>
        </w:rPr>
        <w:t>Donation Box Management Policy</w:t>
      </w:r>
    </w:p>
    <w:p>
      <w:pPr>
        <w:spacing w:after="4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sz w:val="22"/>
        </w:rPr>
        <w:t>Donation Box Weekly Stats Reporting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sz w:val="22"/>
        </w:rPr>
        <w:t>Donor Care Compliance and Complex Requests Management Policy</w:t>
      </w:r>
    </w:p>
    <w:p>
      <w:pPr>
        <w:spacing w:after="40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sz w:val="22"/>
        </w:rPr>
        <w:t>Donor Care Training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sz w:val="22"/>
        </w:rPr>
        <w:t>Refund Requests and Complaints Policy</w:t>
      </w:r>
    </w:p>
    <w:p>
      <w:pPr>
        <w:spacing w:after="40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sz w:val="22"/>
        </w:rPr>
        <w:t>VIP Donor Care Policy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7 — Compliance, Audits &amp; Reporting  (10)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Annual Information Statement (AIS) Submission Policy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Completed Records Policy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Compliance Reporting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</w:rPr>
        <w:t>Compliance, Audits and Reporting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</w:rPr>
        <w:t>External Auditor Access to Records Policy</w:t>
      </w:r>
    </w:p>
    <w:p>
      <w:pPr>
        <w:spacing w:after="4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sz w:val="22"/>
        </w:rPr>
        <w:t>General Reporting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sz w:val="22"/>
        </w:rPr>
        <w:t>Internal Auditing Policy</w:t>
      </w:r>
    </w:p>
    <w:p>
      <w:pPr>
        <w:spacing w:after="4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sz w:val="22"/>
        </w:rPr>
        <w:t>Preparation of Annual Report Policy</w:t>
      </w:r>
    </w:p>
    <w:p>
      <w:pPr>
        <w:spacing w:after="4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sz w:val="22"/>
        </w:rPr>
        <w:t>Record Keeping, Reporting and Duty to Notify Policy</w:t>
      </w:r>
    </w:p>
    <w:p>
      <w:pPr>
        <w:spacing w:after="4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sz w:val="22"/>
        </w:rPr>
        <w:t>Whistleblowing Policy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Module 8 — Risk, Continuity &amp; Security  (13)</w:t>
      </w:r>
    </w:p>
    <w:p>
      <w:pPr>
        <w:spacing w:after="40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sz w:val="22"/>
        </w:rPr>
        <w:t>Backup Plan for Field Partners- Systems, Permits and Legal Compliance Policy</w:t>
      </w:r>
    </w:p>
    <w:p>
      <w:pPr>
        <w:spacing w:after="40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sz w:val="22"/>
        </w:rPr>
        <w:t>Backup Policy for Software, Systems, Permits and Legal Documents</w:t>
      </w:r>
    </w:p>
    <w:p>
      <w:pPr>
        <w:spacing w:after="40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sz w:val="22"/>
        </w:rPr>
        <w:t>Charity Insurance Maintenance Policy</w:t>
      </w:r>
    </w:p>
    <w:p>
      <w:pPr>
        <w:spacing w:after="40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sz w:val="22"/>
        </w:rPr>
        <w:t>Communication and Emergency Services Plan Policy</w:t>
      </w:r>
    </w:p>
    <w:p>
      <w:pPr>
        <w:spacing w:after="40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sz w:val="22"/>
        </w:rPr>
        <w:t>Disaster Recovery and Business Continuity Plan Policy</w:t>
      </w:r>
    </w:p>
    <w:p>
      <w:pPr>
        <w:spacing w:after="40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sz w:val="22"/>
        </w:rPr>
        <w:t>Emergency Financial Plan Activation Policy</w:t>
      </w:r>
    </w:p>
    <w:p>
      <w:pPr>
        <w:spacing w:after="40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sz w:val="22"/>
        </w:rPr>
        <w:t>Emergency Financial Procedures Policy</w:t>
      </w:r>
    </w:p>
    <w:p>
      <w:pPr>
        <w:spacing w:after="40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sz w:val="22"/>
        </w:rPr>
        <w:t>Emergency Financial Response Team (EFRT) Policy</w:t>
      </w:r>
    </w:p>
    <w:p>
      <w:pPr>
        <w:spacing w:after="40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sz w:val="22"/>
        </w:rPr>
        <w:t>Emergency Financial Situations Policy</w:t>
      </w:r>
    </w:p>
    <w:p>
      <w:pPr>
        <w:spacing w:after="40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sz w:val="22"/>
        </w:rPr>
        <w:t>Licenses, Fundraising, Insurances, Permits and Legal Compliance Policy</w:t>
      </w:r>
    </w:p>
    <w:p>
      <w:pPr>
        <w:spacing w:after="40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sz w:val="22"/>
        </w:rPr>
        <w:t>Logins, Passwords and Websites Policy</w:t>
      </w:r>
    </w:p>
    <w:p>
      <w:pPr>
        <w:spacing w:after="40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sz w:val="22"/>
        </w:rPr>
        <w:t>Risk Management Policy</w:t>
      </w:r>
    </w:p>
    <w:p>
      <w:pPr>
        <w:spacing w:after="40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sz w:val="22"/>
        </w:rPr>
        <w:t>Succession Plan for Key Personnel Policy</w:t>
      </w:r>
    </w:p>
    <w:p/>
    <w:p>
      <w:r>
        <w:rPr>
          <w:rFonts w:ascii="Calibri" w:hAnsi="Calibri"/>
          <w:b/>
          <w:color w:val="1F3864"/>
          <w:sz w:val="22"/>
        </w:rPr>
        <w:t>Total policy templates: 111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