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CONSTITUTION AND BY-LAWS (TEMPLATE)</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Constitution and By-laws (Template)</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Name of the Organisation</w:t>
      </w:r>
    </w:p>
    <w:p>
      <w:pPr>
        <w:jc w:val="both"/>
      </w:pPr>
      <w:r>
        <w:t>The name of the organisation is [Organisation Name] (referred to in this document as "the Organisation").</w:t>
      </w:r>
    </w:p>
    <w:p>
      <w:pPr>
        <w:keepNext/>
        <w:spacing w:before="200" w:after="80"/>
      </w:pPr>
      <w:r>
        <w:rPr>
          <w:rFonts w:ascii="Calibri" w:hAnsi="Calibri"/>
          <w:b/>
          <w:color w:val="1F3864"/>
          <w:sz w:val="26"/>
        </w:rPr>
        <w:t>2. Definitions</w:t>
      </w:r>
    </w:p>
    <w:p>
      <w:pPr>
        <w:pStyle w:val="ListBullet"/>
        <w:spacing w:after="60"/>
      </w:pPr>
      <w:r>
        <w:t>Act — the Australian Charities and Not-for-profits Commission Act 2012 (Cth);</w:t>
      </w:r>
    </w:p>
    <w:p>
      <w:pPr>
        <w:pStyle w:val="ListBullet"/>
        <w:spacing w:after="60"/>
      </w:pPr>
      <w:r>
        <w:t>Board — the governing body of the Organisation;</w:t>
      </w:r>
    </w:p>
    <w:p>
      <w:pPr>
        <w:pStyle w:val="ListBullet"/>
        <w:spacing w:after="60"/>
      </w:pPr>
      <w:r>
        <w:t>Member — any person or entity admitted as a member under this Constitution; and</w:t>
      </w:r>
    </w:p>
    <w:p>
      <w:pPr>
        <w:pStyle w:val="ListBullet"/>
        <w:spacing w:after="60"/>
      </w:pPr>
      <w:r>
        <w:t>General Meeting — a meeting of the Members of the Organisation.</w:t>
      </w:r>
    </w:p>
    <w:p>
      <w:pPr>
        <w:keepNext/>
        <w:spacing w:before="200" w:after="80"/>
      </w:pPr>
      <w:r>
        <w:rPr>
          <w:rFonts w:ascii="Calibri" w:hAnsi="Calibri"/>
          <w:b/>
          <w:color w:val="1F3864"/>
          <w:sz w:val="26"/>
        </w:rPr>
        <w:t>3. Objects</w:t>
      </w:r>
    </w:p>
    <w:p>
      <w:pPr>
        <w:jc w:val="both"/>
      </w:pPr>
      <w:r>
        <w:t>The objects of the Organisation are to [Object 1], to [Object 2] and to [Object 3].</w:t>
      </w:r>
    </w:p>
    <w:p>
      <w:pPr>
        <w:keepNext/>
        <w:spacing w:before="200" w:after="80"/>
      </w:pPr>
      <w:r>
        <w:rPr>
          <w:rFonts w:ascii="Calibri" w:hAnsi="Calibri"/>
          <w:b/>
          <w:color w:val="1F3864"/>
          <w:sz w:val="26"/>
        </w:rPr>
        <w:t>4. Powers</w:t>
      </w:r>
    </w:p>
    <w:p>
      <w:pPr>
        <w:jc w:val="both"/>
      </w:pPr>
      <w:r>
        <w:t>The Organisation has the powers of a natural person to do all things necessary or convenient to pursue its objects, including the power to acquire, hold and dispose of property, to enter into contracts, and to borrow and invest money.</w:t>
      </w:r>
    </w:p>
    <w:p>
      <w:pPr>
        <w:keepNext/>
        <w:spacing w:before="200" w:after="80"/>
      </w:pPr>
      <w:r>
        <w:rPr>
          <w:rFonts w:ascii="Calibri" w:hAnsi="Calibri"/>
          <w:b/>
          <w:color w:val="1F3864"/>
          <w:sz w:val="26"/>
        </w:rPr>
        <w:t>5. Membership</w:t>
      </w:r>
    </w:p>
    <w:p>
      <w:pPr>
        <w:spacing w:before="80"/>
      </w:pPr>
      <w:r>
        <w:rPr>
          <w:rFonts w:ascii="Calibri" w:hAnsi="Calibri"/>
          <w:b/>
          <w:i/>
          <w:color w:val="1F3864"/>
          <w:sz w:val="22"/>
        </w:rPr>
        <w:t>5.1 Eligibility</w:t>
      </w:r>
    </w:p>
    <w:p>
      <w:pPr>
        <w:jc w:val="both"/>
      </w:pPr>
      <w:r>
        <w:t>Any individual or entity that supports the objects of the Organisation is eligible for membership.</w:t>
      </w:r>
    </w:p>
    <w:p>
      <w:pPr>
        <w:spacing w:before="80"/>
      </w:pPr>
      <w:r>
        <w:rPr>
          <w:rFonts w:ascii="Calibri" w:hAnsi="Calibri"/>
          <w:b/>
          <w:i/>
          <w:color w:val="1F3864"/>
          <w:sz w:val="22"/>
        </w:rPr>
        <w:t>5.2 Admission</w:t>
      </w:r>
    </w:p>
    <w:p>
      <w:pPr>
        <w:jc w:val="both"/>
      </w:pPr>
      <w:r>
        <w:t>Membership is granted on approval of the Board following an application process.</w:t>
      </w:r>
    </w:p>
    <w:p>
      <w:pPr>
        <w:spacing w:before="80"/>
      </w:pPr>
      <w:r>
        <w:rPr>
          <w:rFonts w:ascii="Calibri" w:hAnsi="Calibri"/>
          <w:b/>
          <w:i/>
          <w:color w:val="1F3864"/>
          <w:sz w:val="22"/>
        </w:rPr>
        <w:t>5.3 Categories</w:t>
      </w:r>
    </w:p>
    <w:p>
      <w:pPr>
        <w:jc w:val="both"/>
      </w:pPr>
      <w:r>
        <w:t>The Organisation may have Ordinary Members, Honorary Members and Life Members.</w:t>
      </w:r>
    </w:p>
    <w:p>
      <w:pPr>
        <w:spacing w:before="80"/>
      </w:pPr>
      <w:r>
        <w:rPr>
          <w:rFonts w:ascii="Calibri" w:hAnsi="Calibri"/>
          <w:b/>
          <w:i/>
          <w:color w:val="1F3864"/>
          <w:sz w:val="22"/>
        </w:rPr>
        <w:t>5.4 Rights and Obligations</w:t>
      </w:r>
    </w:p>
    <w:p>
      <w:pPr>
        <w:jc w:val="both"/>
      </w:pPr>
      <w:r>
        <w:t>Members may attend and vote at General Meetings and must comply with this Constitution and the By-laws.</w:t>
      </w:r>
    </w:p>
    <w:p>
      <w:pPr>
        <w:keepNext/>
        <w:spacing w:before="200" w:after="80"/>
      </w:pPr>
      <w:r>
        <w:rPr>
          <w:rFonts w:ascii="Calibri" w:hAnsi="Calibri"/>
          <w:b/>
          <w:color w:val="1F3864"/>
          <w:sz w:val="26"/>
        </w:rPr>
        <w:t>6. Governance</w:t>
      </w:r>
    </w:p>
    <w:p>
      <w:pPr>
        <w:pStyle w:val="ListBullet"/>
        <w:spacing w:after="60"/>
      </w:pPr>
      <w:r>
        <w:t>The Board — the Organisation is governed by a Board of [number] members;</w:t>
      </w:r>
    </w:p>
    <w:p>
      <w:pPr>
        <w:pStyle w:val="ListBullet"/>
        <w:spacing w:after="60"/>
      </w:pPr>
      <w:r>
        <w:t>Election — Board members are elected by the Members at the Annual General Meeting (AGM);</w:t>
      </w:r>
    </w:p>
    <w:p>
      <w:pPr>
        <w:pStyle w:val="ListBullet"/>
        <w:spacing w:after="60"/>
      </w:pPr>
      <w:r>
        <w:t>Term — Board members serve for [number] years and may be re-elected; and</w:t>
      </w:r>
    </w:p>
    <w:p>
      <w:pPr>
        <w:pStyle w:val="ListBullet"/>
        <w:spacing w:after="60"/>
      </w:pPr>
      <w:r>
        <w:t>Duties — the Board manages the affairs of the Organisation, ensures it operates lawfully and in line with its objects, and reports to Members at the AGM.</w:t>
      </w:r>
    </w:p>
    <w:p>
      <w:pPr>
        <w:keepNext/>
        <w:spacing w:before="200" w:after="80"/>
      </w:pPr>
      <w:r>
        <w:rPr>
          <w:rFonts w:ascii="Calibri" w:hAnsi="Calibri"/>
          <w:b/>
          <w:color w:val="1F3864"/>
          <w:sz w:val="26"/>
        </w:rPr>
        <w:t>7. Meetings</w:t>
      </w:r>
    </w:p>
    <w:p>
      <w:pPr>
        <w:spacing w:before="80"/>
      </w:pPr>
      <w:r>
        <w:rPr>
          <w:rFonts w:ascii="Calibri" w:hAnsi="Calibri"/>
          <w:b/>
          <w:i/>
          <w:color w:val="1F3864"/>
          <w:sz w:val="22"/>
        </w:rPr>
        <w:t>7.1 Annual General Meeting</w:t>
      </w:r>
    </w:p>
    <w:p>
      <w:pPr>
        <w:jc w:val="both"/>
      </w:pPr>
      <w:r>
        <w:t>The AGM is held within [number] months after the end of the financial year, to receive Board reports, elect Board members and consider other business.</w:t>
      </w:r>
    </w:p>
    <w:p>
      <w:pPr>
        <w:spacing w:before="80"/>
      </w:pPr>
      <w:r>
        <w:rPr>
          <w:rFonts w:ascii="Calibri" w:hAnsi="Calibri"/>
          <w:b/>
          <w:i/>
          <w:color w:val="1F3864"/>
          <w:sz w:val="22"/>
        </w:rPr>
        <w:t>7.2 Special General Meetings</w:t>
      </w:r>
    </w:p>
    <w:p>
      <w:pPr>
        <w:jc w:val="both"/>
      </w:pPr>
      <w:r>
        <w:t>Special General Meetings may be called by the Board or at the request of at least [number]% of Members.</w:t>
      </w:r>
    </w:p>
    <w:p>
      <w:pPr>
        <w:spacing w:before="80"/>
      </w:pPr>
      <w:r>
        <w:rPr>
          <w:rFonts w:ascii="Calibri" w:hAnsi="Calibri"/>
          <w:b/>
          <w:i/>
          <w:color w:val="1F3864"/>
          <w:sz w:val="22"/>
        </w:rPr>
        <w:t>7.3 Quorum</w:t>
      </w:r>
    </w:p>
    <w:p>
      <w:pPr>
        <w:jc w:val="both"/>
      </w:pPr>
      <w:r>
        <w:t>The quorum for General Meetings is [number] Members.</w:t>
      </w:r>
    </w:p>
    <w:p>
      <w:pPr>
        <w:keepNext/>
        <w:spacing w:before="200" w:after="80"/>
      </w:pPr>
      <w:r>
        <w:rPr>
          <w:rFonts w:ascii="Calibri" w:hAnsi="Calibri"/>
          <w:b/>
          <w:color w:val="1F3864"/>
          <w:sz w:val="26"/>
        </w:rPr>
        <w:t>8. Finance</w:t>
      </w:r>
    </w:p>
    <w:p>
      <w:pPr>
        <w:pStyle w:val="ListBullet"/>
        <w:spacing w:after="60"/>
      </w:pPr>
      <w:r>
        <w:t>Financial year — the financial year runs from [start date] to [end date]; and</w:t>
      </w:r>
    </w:p>
    <w:p>
      <w:pPr>
        <w:pStyle w:val="ListBullet"/>
        <w:spacing w:after="60"/>
      </w:pPr>
      <w:r>
        <w:t>Accounts and audit — the Board keeps proper accounting records, and the accounts are audited annually by a qualified auditor.</w:t>
      </w:r>
    </w:p>
    <w:p>
      <w:pPr>
        <w:keepNext/>
        <w:spacing w:before="200" w:after="80"/>
      </w:pPr>
      <w:r>
        <w:rPr>
          <w:rFonts w:ascii="Calibri" w:hAnsi="Calibri"/>
          <w:b/>
          <w:color w:val="1F3864"/>
          <w:sz w:val="26"/>
        </w:rPr>
        <w:t>9. Amendment</w:t>
      </w:r>
    </w:p>
    <w:p>
      <w:pPr>
        <w:jc w:val="both"/>
      </w:pPr>
      <w:r>
        <w:t>This Constitution may be amended by a resolution passed by a [two-thirds / three-quarters] majority of Members present at a General Meeting.</w:t>
      </w:r>
    </w:p>
    <w:p>
      <w:pPr>
        <w:keepNext/>
        <w:spacing w:before="200" w:after="80"/>
      </w:pPr>
      <w:r>
        <w:rPr>
          <w:rFonts w:ascii="Calibri" w:hAnsi="Calibri"/>
          <w:b/>
          <w:color w:val="1F3864"/>
          <w:sz w:val="26"/>
        </w:rPr>
        <w:t>10. Dissolution</w:t>
      </w:r>
    </w:p>
    <w:p>
      <w:pPr>
        <w:jc w:val="both"/>
      </w:pPr>
      <w:r>
        <w:t>On dissolution, the assets of the Organisation are transferred to another organisation with similar objects, or to a charitable purpose, as determined by the Members.</w:t>
      </w:r>
    </w:p>
    <w:p>
      <w:pPr>
        <w:keepNext/>
        <w:spacing w:before="200" w:after="80"/>
      </w:pPr>
      <w:r>
        <w:rPr>
          <w:rFonts w:ascii="Calibri" w:hAnsi="Calibri"/>
          <w:b/>
          <w:color w:val="1F3864"/>
          <w:sz w:val="26"/>
        </w:rPr>
        <w:t>11. By-laws</w:t>
      </w:r>
    </w:p>
    <w:p>
      <w:pPr>
        <w:pStyle w:val="ListBullet"/>
        <w:spacing w:after="60"/>
      </w:pPr>
      <w:r>
        <w:t>Membership fees — set by the Board for each category and due on [date];</w:t>
      </w:r>
    </w:p>
    <w:p>
      <w:pPr>
        <w:pStyle w:val="ListBullet"/>
        <w:spacing w:after="60"/>
      </w:pPr>
      <w:r>
        <w:t>Board meetings — the Board meets at least [number] times per year, with a quorum of [number] Board members;</w:t>
      </w:r>
    </w:p>
    <w:p>
      <w:pPr>
        <w:pStyle w:val="ListBullet"/>
        <w:spacing w:after="60"/>
      </w:pPr>
      <w:r>
        <w:t>Committees — the Board may establish committees, each with a defined purpose, reporting to the Board;</w:t>
      </w:r>
    </w:p>
    <w:p>
      <w:pPr>
        <w:pStyle w:val="ListBullet"/>
        <w:spacing w:after="60"/>
      </w:pPr>
      <w:r>
        <w:t>Code of conduct — Members and Board members act ethically and in the Organisation's best interests, disclosing and managing any conflict of interest;</w:t>
      </w:r>
    </w:p>
    <w:p>
      <w:pPr>
        <w:pStyle w:val="ListBullet"/>
        <w:spacing w:after="60"/>
      </w:pPr>
      <w:r>
        <w:t>Indemnity — Board members and officers are indemnified against liability incurred in good faith in performing their duties; and</w:t>
      </w:r>
    </w:p>
    <w:p>
      <w:pPr>
        <w:pStyle w:val="ListBullet"/>
        <w:spacing w:after="60"/>
      </w:pPr>
      <w:r>
        <w:t>Dispute resolution — internal disputes are resolved by mediation and, if that fails, referred to an independent arbitrator.</w:t>
      </w:r>
    </w:p>
    <w:p>
      <w:r>
        <w:rPr>
          <w:rFonts w:ascii="Calibri" w:hAnsi="Calibri"/>
          <w:i/>
          <w:color w:val="595959"/>
          <w:sz w:val="20"/>
        </w:rPr>
        <w:t>This is a template only and must be tailored and reviewed with qualified legal advice before adoption.</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Constitution and By-laws (Template)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