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CHARITY GOVERNING DOCUMENTS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Charity Governing Documents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suite of governing and policy documents that [Organisation Name] should establish and maintain in order to operate lawfully, ethically and effectively as a registered charity in Australia. It is intended as a framework that each organisation tailors to its own structure and activities, with legal advice obtained where appropriate.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Constitution</w:t>
      </w:r>
    </w:p>
    <w:p>
      <w:pPr>
        <w:jc w:val="both"/>
      </w:pPr>
      <w:r>
        <w:t>The constitution is the primary governing document of the organisation and should address, at a minimum:</w:t>
      </w:r>
    </w:p>
    <w:p>
      <w:pPr>
        <w:pStyle w:val="ListBullet"/>
        <w:spacing w:after="60"/>
      </w:pPr>
      <w:r>
        <w:t>Name — the legal name of the charity;</w:t>
      </w:r>
    </w:p>
    <w:p>
      <w:pPr>
        <w:pStyle w:val="ListBullet"/>
        <w:spacing w:after="60"/>
      </w:pPr>
      <w:r>
        <w:t>Objects and purposes — the charitable purposes the organisation exists to pursue;</w:t>
      </w:r>
    </w:p>
    <w:p>
      <w:pPr>
        <w:pStyle w:val="ListBullet"/>
        <w:spacing w:after="60"/>
      </w:pPr>
      <w:r>
        <w:t>Powers — the powers available to the organisation to achieve its purposes;</w:t>
      </w:r>
    </w:p>
    <w:p>
      <w:pPr>
        <w:pStyle w:val="ListBullet"/>
        <w:spacing w:after="60"/>
      </w:pPr>
      <w:r>
        <w:t>Membership — eligibility, categories, and the rights and obligations of members;</w:t>
      </w:r>
    </w:p>
    <w:p>
      <w:pPr>
        <w:pStyle w:val="ListBullet"/>
        <w:spacing w:after="60"/>
      </w:pPr>
      <w:r>
        <w:t>Governance structure — the board, any committees, and office holders;</w:t>
      </w:r>
    </w:p>
    <w:p>
      <w:pPr>
        <w:pStyle w:val="ListBullet"/>
        <w:spacing w:after="60"/>
      </w:pPr>
      <w:r>
        <w:t>Meetings — the rules for Annual General Meetings and other meetings, including quorum and voting;</w:t>
      </w:r>
    </w:p>
    <w:p>
      <w:pPr>
        <w:pStyle w:val="ListBullet"/>
        <w:spacing w:after="60"/>
      </w:pPr>
      <w:r>
        <w:t>Financial management — the financial year, accounting practices and audit arrangements;</w:t>
      </w:r>
    </w:p>
    <w:p>
      <w:pPr>
        <w:pStyle w:val="ListBullet"/>
        <w:spacing w:after="60"/>
      </w:pPr>
      <w:r>
        <w:t>Amendment — how the constitution may be changed;</w:t>
      </w:r>
    </w:p>
    <w:p>
      <w:pPr>
        <w:pStyle w:val="ListBullet"/>
        <w:spacing w:after="60"/>
      </w:pPr>
      <w:r>
        <w:t>Dissolution — how surplus assets are dealt with if the organisation winds up; and</w:t>
      </w:r>
    </w:p>
    <w:p>
      <w:pPr>
        <w:pStyle w:val="ListBullet"/>
        <w:spacing w:after="60"/>
      </w:pPr>
      <w:r>
        <w:t>Regulatory compliance — provisions giving effect to the Australian Charities and Not-for-profits Commission Act 2012 (Cth) and related legislation.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By-laws</w:t>
      </w:r>
    </w:p>
    <w:p>
      <w:pPr>
        <w:jc w:val="both"/>
      </w:pPr>
      <w:r>
        <w:t>By-laws support the constitution by setting out operational detail, including:</w:t>
      </w:r>
    </w:p>
    <w:p>
      <w:pPr>
        <w:pStyle w:val="ListBullet"/>
        <w:spacing w:after="60"/>
      </w:pPr>
      <w:r>
        <w:t>Day-to-day operating rules;</w:t>
      </w:r>
    </w:p>
    <w:p>
      <w:pPr>
        <w:pStyle w:val="ListBullet"/>
        <w:spacing w:after="60"/>
      </w:pPr>
      <w:r>
        <w:t>Membership fees, payment timing and the consequences of non-payment;</w:t>
      </w:r>
    </w:p>
    <w:p>
      <w:pPr>
        <w:pStyle w:val="ListBullet"/>
        <w:spacing w:after="60"/>
      </w:pPr>
      <w:r>
        <w:t>The frequency, notice and conduct of board meetings;</w:t>
      </w:r>
    </w:p>
    <w:p>
      <w:pPr>
        <w:pStyle w:val="ListBullet"/>
        <w:spacing w:after="60"/>
      </w:pPr>
      <w:r>
        <w:t>A code of conduct for members, directors and volunteers;</w:t>
      </w:r>
    </w:p>
    <w:p>
      <w:pPr>
        <w:pStyle w:val="ListBullet"/>
        <w:spacing w:after="60"/>
      </w:pPr>
      <w:r>
        <w:t>Indemnity protecting directors and officers for acts done in good faith; and</w:t>
      </w:r>
    </w:p>
    <w:p>
      <w:pPr>
        <w:pStyle w:val="ListBullet"/>
        <w:spacing w:after="60"/>
      </w:pPr>
      <w:r>
        <w:t>A process for resolving internal disputes.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Supporting Policies</w:t>
      </w:r>
    </w:p>
    <w:p>
      <w:pPr>
        <w:jc w:val="both"/>
      </w:pPr>
      <w:r>
        <w:t>In addition to the constitution and by-laws, the organisation should adopt and maintain the following core policies, each tailored to its operations:</w:t>
      </w:r>
    </w:p>
    <w:p>
      <w:pPr>
        <w:pStyle w:val="ListBullet"/>
        <w:spacing w:after="60"/>
      </w:pPr>
      <w:r>
        <w:t>Conflict of Interest Policy — disclosure, management of conflicts, and consequences of non-disclosure;</w:t>
      </w:r>
    </w:p>
    <w:p>
      <w:pPr>
        <w:pStyle w:val="ListBullet"/>
        <w:spacing w:after="60"/>
      </w:pPr>
      <w:r>
        <w:t>Child Protection Policy — commitment to child safety, a code of conduct, reporting procedures and training (where the charity works with children);</w:t>
      </w:r>
    </w:p>
    <w:p>
      <w:pPr>
        <w:pStyle w:val="ListBullet"/>
        <w:spacing w:after="60"/>
      </w:pPr>
      <w:r>
        <w:t>Equal Employment Opportunity Policy — a commitment to non-discrimination across recruitment and selection, with a grievance process;</w:t>
      </w:r>
    </w:p>
    <w:p>
      <w:pPr>
        <w:pStyle w:val="ListBullet"/>
        <w:spacing w:after="60"/>
      </w:pPr>
      <w:r>
        <w:t>Whistleblower Protection Policy — safe reporting channels, protection from reprisal and confidentiality;</w:t>
      </w:r>
    </w:p>
    <w:p>
      <w:pPr>
        <w:pStyle w:val="ListBullet"/>
        <w:spacing w:after="60"/>
      </w:pPr>
      <w:r>
        <w:t>Financial Management Policy — budgeting, internal controls and audit requirements;</w:t>
      </w:r>
    </w:p>
    <w:p>
      <w:pPr>
        <w:pStyle w:val="ListBullet"/>
        <w:spacing w:after="60"/>
      </w:pPr>
      <w:r>
        <w:t>Privacy Policy — how personal information is collected, used, protected and accessed;</w:t>
      </w:r>
    </w:p>
    <w:p>
      <w:pPr>
        <w:pStyle w:val="ListBullet"/>
        <w:spacing w:after="60"/>
      </w:pPr>
      <w:r>
        <w:t>Disaster Recovery and Business Continuity Plan — risk identification, data backup and emergency response;</w:t>
      </w:r>
    </w:p>
    <w:p>
      <w:pPr>
        <w:pStyle w:val="ListBullet"/>
        <w:spacing w:after="60"/>
      </w:pPr>
      <w:r>
        <w:t>Grievance and Dispute Resolution Policy — a clear process for raising and resolving concerns;</w:t>
      </w:r>
    </w:p>
    <w:p>
      <w:pPr>
        <w:pStyle w:val="ListBullet"/>
        <w:spacing w:after="60"/>
      </w:pPr>
      <w:r>
        <w:t>Volunteer Management Policy — recruitment, training, supervision and support of volunteers;</w:t>
      </w:r>
    </w:p>
    <w:p>
      <w:pPr>
        <w:pStyle w:val="ListBullet"/>
        <w:spacing w:after="60"/>
      </w:pPr>
      <w:r>
        <w:t>Health and Safety Policy — workplace safety, incident reporting and hazard assessment;</w:t>
      </w:r>
    </w:p>
    <w:p>
      <w:pPr>
        <w:pStyle w:val="ListBullet"/>
        <w:spacing w:after="60"/>
      </w:pPr>
      <w:r>
        <w:t>Fundraising Policy — ethical fundraising, donor relations and regulatory compliance;</w:t>
      </w:r>
    </w:p>
    <w:p>
      <w:pPr>
        <w:pStyle w:val="ListBullet"/>
        <w:spacing w:after="60"/>
      </w:pPr>
      <w:r>
        <w:t>Anti-Fraud and Corruption Policy — a zero-tolerance stance, reporting channels and investigation procedures; and</w:t>
      </w:r>
    </w:p>
    <w:p>
      <w:pPr>
        <w:pStyle w:val="ListBullet"/>
        <w:spacing w:after="60"/>
      </w:pPr>
      <w:r>
        <w:t>Risk Management Policy — identification, mitigation and regular review of organisational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Tailoring and Legal Advice</w:t>
      </w:r>
    </w:p>
    <w:p>
      <w:pPr>
        <w:jc w:val="both"/>
      </w:pPr>
      <w:r>
        <w:t>These documents should be adapted to the specific needs, size and structure of [Organisation Name]. The organisation should obtain legal advice to confirm that its governing documents comply with all applicable Commonwealth, state and territory laws.</w:t>
      </w:r>
    </w:p>
    <w:p>
      <w:r>
        <w:rPr>
          <w:rFonts w:ascii="Calibri" w:hAnsi="Calibri"/>
          <w:i/>
          <w:color w:val="595959"/>
          <w:sz w:val="20"/>
        </w:rPr>
        <w:t>This framework supports lawful, ethical and effective operation; it does not replace tailored legal advice.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Charity Governing Documents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