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864"/>
          <w:sz w:val="40"/>
        </w:rPr>
        <w:t>CHARITY LICENCES AND REGISTRATIONS POLICY</w:t>
      </w:r>
    </w:p>
    <w:p>
      <w:pPr>
        <w:jc w:val="center"/>
        <w:pBdr>
          <w:bottom w:val="single" w:sz="6" w:space="1" w:color="1F3864"/>
        </w:pBdr>
      </w:pPr>
      <w:r>
        <w:rPr>
          <w:rFonts w:ascii="Calibri" w:hAnsi="Calibri"/>
          <w:i/>
          <w:color w:val="595959"/>
          <w:sz w:val="24"/>
        </w:rPr>
        <w:t>[Organisation Name]</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6480"/>
      </w:tblGrid>
      <w:tr>
        <w:tc>
          <w:tcPr>
            <w:tcW w:type="dxa" w:w="2880"/>
            <w:shd w:val="clear" w:color="auto" w:fill="E8ECF4"/>
          </w:tcPr>
          <w:p>
            <w:r>
              <w:rPr>
                <w:rFonts w:ascii="Calibri" w:hAnsi="Calibri"/>
                <w:b/>
                <w:color w:val="1F3864"/>
                <w:sz w:val="20"/>
              </w:rPr>
              <w:t>Policy Title</w:t>
            </w:r>
          </w:p>
        </w:tc>
        <w:tc>
          <w:tcPr>
            <w:tcW w:type="dxa" w:w="6480"/>
          </w:tcPr>
          <w:p>
            <w:r>
              <w:rPr>
                <w:rFonts w:ascii="Calibri" w:hAnsi="Calibri"/>
                <w:sz w:val="20"/>
              </w:rPr>
              <w:t>Charity Licences and Registrations Policy</w:t>
            </w:r>
          </w:p>
        </w:tc>
      </w:tr>
      <w:tr>
        <w:tc>
          <w:tcPr>
            <w:tcW w:type="dxa" w:w="2880"/>
            <w:shd w:val="clear" w:color="auto" w:fill="E8ECF4"/>
          </w:tcPr>
          <w:p>
            <w:r>
              <w:rPr>
                <w:rFonts w:ascii="Calibri" w:hAnsi="Calibri"/>
                <w:b/>
                <w:color w:val="1F3864"/>
                <w:sz w:val="20"/>
              </w:rPr>
              <w:t>Organisation</w:t>
            </w:r>
          </w:p>
        </w:tc>
        <w:tc>
          <w:tcPr>
            <w:tcW w:type="dxa" w:w="6480"/>
          </w:tcPr>
          <w:p>
            <w:r>
              <w:rPr>
                <w:rFonts w:ascii="Calibri" w:hAnsi="Calibri"/>
                <w:sz w:val="20"/>
              </w:rPr>
              <w:t>[Organisation Name]</w:t>
            </w:r>
          </w:p>
        </w:tc>
      </w:tr>
      <w:tr>
        <w:tc>
          <w:tcPr>
            <w:tcW w:type="dxa" w:w="2880"/>
            <w:shd w:val="clear" w:color="auto" w:fill="E8ECF4"/>
          </w:tcPr>
          <w:p>
            <w:r>
              <w:rPr>
                <w:rFonts w:ascii="Calibri" w:hAnsi="Calibri"/>
                <w:b/>
                <w:color w:val="1F3864"/>
                <w:sz w:val="20"/>
              </w:rPr>
              <w:t>Policy Owner</w:t>
            </w:r>
          </w:p>
        </w:tc>
        <w:tc>
          <w:tcPr>
            <w:tcW w:type="dxa" w:w="6480"/>
          </w:tcPr>
          <w:p>
            <w:r>
              <w:rPr>
                <w:rFonts w:ascii="Calibri" w:hAnsi="Calibri"/>
                <w:sz w:val="20"/>
              </w:rPr>
              <w:t>[Position Title]</w:t>
            </w:r>
          </w:p>
        </w:tc>
      </w:tr>
      <w:tr>
        <w:tc>
          <w:tcPr>
            <w:tcW w:type="dxa" w:w="2880"/>
            <w:shd w:val="clear" w:color="auto" w:fill="E8ECF4"/>
          </w:tcPr>
          <w:p>
            <w:r>
              <w:rPr>
                <w:rFonts w:ascii="Calibri" w:hAnsi="Calibri"/>
                <w:b/>
                <w:color w:val="1F3864"/>
                <w:sz w:val="20"/>
              </w:rPr>
              <w:t>Approved By</w:t>
            </w:r>
          </w:p>
        </w:tc>
        <w:tc>
          <w:tcPr>
            <w:tcW w:type="dxa" w:w="6480"/>
          </w:tcPr>
          <w:p>
            <w:r>
              <w:rPr>
                <w:rFonts w:ascii="Calibri" w:hAnsi="Calibri"/>
                <w:sz w:val="20"/>
              </w:rPr>
              <w:t>[Board of Directors / Position Title]</w:t>
            </w:r>
          </w:p>
        </w:tc>
      </w:tr>
      <w:tr>
        <w:tc>
          <w:tcPr>
            <w:tcW w:type="dxa" w:w="2880"/>
            <w:shd w:val="clear" w:color="auto" w:fill="E8ECF4"/>
          </w:tcPr>
          <w:p>
            <w:r>
              <w:rPr>
                <w:rFonts w:ascii="Calibri" w:hAnsi="Calibri"/>
                <w:b/>
                <w:color w:val="1F3864"/>
                <w:sz w:val="20"/>
              </w:rPr>
              <w:t>Version</w:t>
            </w:r>
          </w:p>
        </w:tc>
        <w:tc>
          <w:tcPr>
            <w:tcW w:type="dxa" w:w="6480"/>
          </w:tcPr>
          <w:p>
            <w:r>
              <w:rPr>
                <w:rFonts w:ascii="Calibri" w:hAnsi="Calibri"/>
                <w:sz w:val="20"/>
              </w:rPr>
              <w:t>[1.0]</w:t>
            </w:r>
          </w:p>
        </w:tc>
      </w:tr>
      <w:tr>
        <w:tc>
          <w:tcPr>
            <w:tcW w:type="dxa" w:w="2880"/>
            <w:shd w:val="clear" w:color="auto" w:fill="E8ECF4"/>
          </w:tcPr>
          <w:p>
            <w:r>
              <w:rPr>
                <w:rFonts w:ascii="Calibri" w:hAnsi="Calibri"/>
                <w:b/>
                <w:color w:val="1F3864"/>
                <w:sz w:val="20"/>
              </w:rPr>
              <w:t>Effective Date</w:t>
            </w:r>
          </w:p>
        </w:tc>
        <w:tc>
          <w:tcPr>
            <w:tcW w:type="dxa" w:w="6480"/>
          </w:tcPr>
          <w:p>
            <w:r>
              <w:rPr>
                <w:rFonts w:ascii="Calibri" w:hAnsi="Calibri"/>
                <w:sz w:val="20"/>
              </w:rPr>
              <w:t>[Date]</w:t>
            </w:r>
          </w:p>
        </w:tc>
      </w:tr>
      <w:tr>
        <w:tc>
          <w:tcPr>
            <w:tcW w:type="dxa" w:w="2880"/>
            <w:shd w:val="clear" w:color="auto" w:fill="E8ECF4"/>
          </w:tcPr>
          <w:p>
            <w:r>
              <w:rPr>
                <w:rFonts w:ascii="Calibri" w:hAnsi="Calibri"/>
                <w:b/>
                <w:color w:val="1F3864"/>
                <w:sz w:val="20"/>
              </w:rPr>
              <w:t>Next Review Date</w:t>
            </w:r>
          </w:p>
        </w:tc>
        <w:tc>
          <w:tcPr>
            <w:tcW w:type="dxa" w:w="6480"/>
          </w:tcPr>
          <w:p>
            <w:r>
              <w:rPr>
                <w:rFonts w:ascii="Calibri" w:hAnsi="Calibri"/>
                <w:sz w:val="20"/>
              </w:rPr>
              <w:t>[Date — annual review recommended]</w:t>
            </w:r>
          </w:p>
        </w:tc>
      </w:tr>
    </w:tbl>
    <w:p/>
    <w:p>
      <w:pPr>
        <w:keepNext/>
        <w:spacing w:before="200" w:after="80"/>
      </w:pPr>
      <w:r>
        <w:rPr>
          <w:rFonts w:ascii="Calibri" w:hAnsi="Calibri"/>
          <w:b/>
          <w:color w:val="1F3864"/>
          <w:sz w:val="26"/>
        </w:rPr>
        <w:t>1. Purpose</w:t>
      </w:r>
    </w:p>
    <w:p>
      <w:pPr>
        <w:jc w:val="both"/>
      </w:pPr>
      <w:r>
        <w:t>This policy identifies the key licences, registrations and statutory obligations that [Organisation Name] should obtain and maintain to operate compliantly as a charity in Australia. The specific requirements depend on the organisation's activities and the states or territories in which it operates, and should be reviewed regularly.</w:t>
      </w:r>
    </w:p>
    <w:p>
      <w:pPr>
        <w:keepNext/>
        <w:spacing w:before="200" w:after="80"/>
      </w:pPr>
      <w:r>
        <w:rPr>
          <w:rFonts w:ascii="Calibri" w:hAnsi="Calibri"/>
          <w:b/>
          <w:color w:val="1F3864"/>
          <w:sz w:val="26"/>
        </w:rPr>
        <w:t>2. Core Registrations</w:t>
      </w:r>
    </w:p>
    <w:p>
      <w:pPr>
        <w:pStyle w:val="ListBullet"/>
        <w:spacing w:after="60"/>
      </w:pPr>
      <w:r>
        <w:t>Australian Business Number (ABN) — obtained through the Australian Business Register; required for taxation purposes and recognition as a legitimate entity;</w:t>
      </w:r>
    </w:p>
    <w:p>
      <w:pPr>
        <w:pStyle w:val="ListBullet"/>
        <w:spacing w:after="60"/>
      </w:pPr>
      <w:r>
        <w:t>ACNC Registration — registration with the Australian Charities and Not-for-profits Commission, the national charity regulator, which is required to access charity tax concessions;</w:t>
      </w:r>
    </w:p>
    <w:p>
      <w:pPr>
        <w:pStyle w:val="ListBullet"/>
        <w:spacing w:after="60"/>
      </w:pPr>
      <w:r>
        <w:t>ASIC Registration — required where the charity is structured as a company or, in some cases, an incorporated association, to confirm legal identity and corporate compliance; and</w:t>
      </w:r>
    </w:p>
    <w:p>
      <w:pPr>
        <w:pStyle w:val="ListBullet"/>
        <w:spacing w:after="60"/>
      </w:pPr>
      <w:r>
        <w:t>Incorporation — where applicable, incorporation as a not-for-profit through the relevant state or territory regulator to obtain legal status.</w:t>
      </w:r>
    </w:p>
    <w:p>
      <w:pPr>
        <w:keepNext/>
        <w:spacing w:before="200" w:after="80"/>
      </w:pPr>
      <w:r>
        <w:rPr>
          <w:rFonts w:ascii="Calibri" w:hAnsi="Calibri"/>
          <w:b/>
          <w:color w:val="1F3864"/>
          <w:sz w:val="26"/>
        </w:rPr>
        <w:t>3. Fundraising and Activity Permits</w:t>
      </w:r>
    </w:p>
    <w:p>
      <w:pPr>
        <w:pStyle w:val="ListBullet"/>
        <w:spacing w:after="60"/>
      </w:pPr>
      <w:r>
        <w:t>Charitable Fundraising Licences — required where the charity raises funds from the public; separate applications may be needed in each state or territory (for example, NSW Fair Trading, Consumer Affairs Victoria, the Queensland Office of Fair Trading, WA's Department of Energy, Mines, Industry Regulation and Safety, SA's Consumer and Business Services, Tasmania's Consumer, Building and Occupational Services, Access Canberra, and Licensing NT);</w:t>
      </w:r>
    </w:p>
    <w:p>
      <w:pPr>
        <w:pStyle w:val="ListBullet"/>
        <w:spacing w:after="60"/>
      </w:pPr>
      <w:r>
        <w:t>Permits for Special Events — required for street collections, public gatherings or the sale of goods, obtained through local councils or state and territory authorities;</w:t>
      </w:r>
    </w:p>
    <w:p>
      <w:pPr>
        <w:pStyle w:val="ListBullet"/>
        <w:spacing w:after="60"/>
      </w:pPr>
      <w:r>
        <w:t>Food Handling Permits — required from local councils where the charity provides food-related services; and</w:t>
      </w:r>
    </w:p>
    <w:p>
      <w:pPr>
        <w:pStyle w:val="ListBullet"/>
        <w:spacing w:after="60"/>
      </w:pPr>
      <w:r>
        <w:t>Occupational Licences — required where the charity employs regulated professionals (for example, in health or legal services).</w:t>
      </w:r>
    </w:p>
    <w:p>
      <w:pPr>
        <w:keepNext/>
        <w:spacing w:before="200" w:after="80"/>
      </w:pPr>
      <w:r>
        <w:rPr>
          <w:rFonts w:ascii="Calibri" w:hAnsi="Calibri"/>
          <w:b/>
          <w:color w:val="1F3864"/>
          <w:sz w:val="26"/>
        </w:rPr>
        <w:t>4. Tax Concessions and Status</w:t>
      </w:r>
    </w:p>
    <w:p>
      <w:pPr>
        <w:pStyle w:val="ListBullet"/>
        <w:spacing w:after="60"/>
      </w:pPr>
      <w:r>
        <w:t>Deductible Gift Recipient (DGR) status — through the ATO (often via the ACNC process), allowing donors to claim tax deductions;</w:t>
      </w:r>
    </w:p>
    <w:p>
      <w:pPr>
        <w:pStyle w:val="ListBullet"/>
        <w:spacing w:after="60"/>
      </w:pPr>
      <w:r>
        <w:t>Goods and Services Tax (GST) registration — through the ATO where annual turnover exceeds the GST threshold;</w:t>
      </w:r>
    </w:p>
    <w:p>
      <w:pPr>
        <w:pStyle w:val="ListBullet"/>
        <w:spacing w:after="60"/>
      </w:pPr>
      <w:r>
        <w:t>Income Tax Exemption — through the ATO, commonly linked to ACNC registration;</w:t>
      </w:r>
    </w:p>
    <w:p>
      <w:pPr>
        <w:pStyle w:val="ListBullet"/>
        <w:spacing w:after="60"/>
      </w:pPr>
      <w:r>
        <w:t>Payroll Tax Exemptions — through state and territory revenue offices for eligible charities;</w:t>
      </w:r>
    </w:p>
    <w:p>
      <w:pPr>
        <w:pStyle w:val="ListBullet"/>
        <w:spacing w:after="60"/>
      </w:pPr>
      <w:r>
        <w:t>Fringe Benefits Tax (FBT) rebate or exemption — through the ATO where eligible; and</w:t>
      </w:r>
    </w:p>
    <w:p>
      <w:pPr>
        <w:pStyle w:val="ListBullet"/>
        <w:spacing w:after="60"/>
      </w:pPr>
      <w:r>
        <w:t>Public Benevolent Institution (PBI) status — through the ACNC and ATO, recognising charities providing relief to those in need and unlocking further concessions.</w:t>
      </w:r>
    </w:p>
    <w:p>
      <w:pPr>
        <w:keepNext/>
        <w:spacing w:before="200" w:after="80"/>
      </w:pPr>
      <w:r>
        <w:rPr>
          <w:rFonts w:ascii="Calibri" w:hAnsi="Calibri"/>
          <w:b/>
          <w:color w:val="1F3864"/>
          <w:sz w:val="26"/>
        </w:rPr>
        <w:t>5. Compliance Obligations</w:t>
      </w:r>
    </w:p>
    <w:p>
      <w:pPr>
        <w:pStyle w:val="ListBullet"/>
        <w:spacing w:after="60"/>
      </w:pPr>
      <w:r>
        <w:t>Work Health and Safety (WHS) — ongoing compliance with WHS laws under Safe Work Australia and the relevant state or territory body;</w:t>
      </w:r>
    </w:p>
    <w:p>
      <w:pPr>
        <w:pStyle w:val="ListBullet"/>
        <w:spacing w:after="60"/>
      </w:pPr>
      <w:r>
        <w:t>Insurance — appropriate cover, including public liability, workers' compensation and professional indemnity;</w:t>
      </w:r>
    </w:p>
    <w:p>
      <w:pPr>
        <w:pStyle w:val="ListBullet"/>
        <w:spacing w:after="60"/>
      </w:pPr>
      <w:r>
        <w:t>Privacy compliance — adherence to the Privacy Act 1988 (Cth) and the Australian Privacy Principles, overseen by the Office of the Australian Information Commissioner; and</w:t>
      </w:r>
    </w:p>
    <w:p>
      <w:pPr>
        <w:pStyle w:val="ListBullet"/>
        <w:spacing w:after="60"/>
      </w:pPr>
      <w:r>
        <w:t>Child safety standards — compliance with applicable state and territory requirements where the charity works with children.</w:t>
      </w:r>
    </w:p>
    <w:p>
      <w:pPr>
        <w:keepNext/>
        <w:spacing w:before="200" w:after="80"/>
      </w:pPr>
      <w:r>
        <w:rPr>
          <w:rFonts w:ascii="Calibri" w:hAnsi="Calibri"/>
          <w:b/>
          <w:color w:val="1F3864"/>
          <w:sz w:val="26"/>
        </w:rPr>
        <w:t>6. Review</w:t>
      </w:r>
    </w:p>
    <w:p>
      <w:pPr>
        <w:jc w:val="both"/>
      </w:pPr>
      <w:r>
        <w:t>[Organisation Name] will review its licences, registrations and obligations regularly, track renewal dates, and seek legal advice where required to remain compliant across all jurisdictions in which it operates.</w:t>
      </w:r>
    </w:p>
    <w:p/>
    <w:p>
      <w:pPr>
        <w:keepNext/>
        <w:spacing w:before="200" w:after="80"/>
      </w:pPr>
      <w:r>
        <w:rPr>
          <w:rFonts w:ascii="Calibri" w:hAnsi="Calibri"/>
          <w:b/>
          <w:color w:val="1F3864"/>
          <w:sz w:val="26"/>
        </w:rPr>
        <w:t>Approval &amp; Acknowledgement</w:t>
      </w:r>
    </w:p>
    <w:p>
      <w:pPr>
        <w:jc w:val="both"/>
      </w:pPr>
      <w:r>
        <w:t>This policy has been approved by the [Board of Directors / approving body] of [Organisation Name]. By signing below, the approving officer confirms the policy has been adopted and that staff and volunteers are required to comply with it.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Role</w:t>
            </w:r>
          </w:p>
        </w:tc>
        <w:tc>
          <w:tcPr>
            <w:tcW w:type="dxa" w:w="2340"/>
            <w:shd w:val="clear" w:color="auto" w:fill="1F3864"/>
          </w:tcPr>
          <w:p>
            <w:r>
              <w:rPr>
                <w:rFonts w:ascii="Calibri" w:hAnsi="Calibri"/>
                <w:b/>
                <w:color w:val="FFFFFF"/>
                <w:sz w:val="20"/>
              </w:rPr>
              <w:t>Name</w:t>
            </w:r>
          </w:p>
        </w:tc>
        <w:tc>
          <w:tcPr>
            <w:tcW w:type="dxa" w:w="2340"/>
            <w:shd w:val="clear" w:color="auto" w:fill="1F3864"/>
          </w:tcPr>
          <w:p>
            <w:r>
              <w:rPr>
                <w:rFonts w:ascii="Calibri" w:hAnsi="Calibri"/>
                <w:b/>
                <w:color w:val="FFFFFF"/>
                <w:sz w:val="20"/>
              </w:rPr>
              <w:t>Signature</w:t>
            </w:r>
          </w:p>
        </w:tc>
        <w:tc>
          <w:tcPr>
            <w:tcW w:type="dxa" w:w="2340"/>
            <w:shd w:val="clear" w:color="auto" w:fill="1F3864"/>
          </w:tcPr>
          <w:p>
            <w:r>
              <w:rPr>
                <w:rFonts w:ascii="Calibri" w:hAnsi="Calibri"/>
                <w:b/>
                <w:color w:val="FFFFFF"/>
                <w:sz w:val="20"/>
              </w:rPr>
              <w:t>Date</w:t>
            </w:r>
          </w:p>
        </w:tc>
      </w:tr>
      <w:tr>
        <w:tc>
          <w:tcPr>
            <w:tcW w:type="dxa" w:w="2340"/>
          </w:tcPr>
          <w:p>
            <w:r>
              <w:rPr>
                <w:rFonts w:ascii="Calibri" w:hAnsi="Calibri"/>
                <w:sz w:val="20"/>
              </w:rPr>
              <w:t>Approved by (Director / Chair)</w:t>
            </w:r>
          </w:p>
        </w:tc>
        <w:tc>
          <w:tcPr>
            <w:tcW w:type="dxa" w:w="2340"/>
          </w:tcPr>
          <w:p>
            <w:r>
              <w:rPr>
                <w:rFonts w:ascii="Calibri" w:hAnsi="Calibri"/>
                <w:sz w:val="20"/>
              </w:rPr>
            </w:r>
          </w:p>
        </w:tc>
        <w:tc>
          <w:tcPr>
            <w:tcW w:type="dxa" w:w="2340"/>
          </w:tcPr>
          <w:p>
            <w:r>
              <w:rPr>
                <w:rFonts w:ascii="Calibri" w:hAnsi="Calibri"/>
                <w:sz w:val="20"/>
              </w:rPr>
            </w:r>
          </w:p>
        </w:tc>
        <w:tc>
          <w:tcPr>
            <w:tcW w:type="dxa" w:w="2340"/>
          </w:tcPr>
          <w:p>
            <w:r>
              <w:rPr>
                <w:rFonts w:ascii="Calibri" w:hAnsi="Calibri"/>
                <w:sz w:val="20"/>
              </w:rPr>
            </w:r>
          </w:p>
        </w:tc>
      </w:tr>
      <w:tr>
        <w:tc>
          <w:tcPr>
            <w:tcW w:type="dxa" w:w="2340"/>
            <w:shd w:val="clear" w:color="auto" w:fill="F2F4F9"/>
          </w:tcPr>
          <w:p>
            <w:r>
              <w:rPr>
                <w:rFonts w:ascii="Calibri" w:hAnsi="Calibri"/>
                <w:sz w:val="20"/>
              </w:rPr>
              <w:t>Policy Owner</w:t>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r>
    </w:tbl>
    <w:p/>
    <w:p>
      <w:pPr>
        <w:keepNext/>
        <w:spacing w:before="200" w:after="80"/>
      </w:pPr>
      <w:r>
        <w:rPr>
          <w:rFonts w:ascii="Calibri" w:hAnsi="Calibri"/>
          <w:b/>
          <w:color w:val="1F3864"/>
          <w:sz w:val="26"/>
        </w:rPr>
        <w:t>Version History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Version</w:t>
            </w:r>
          </w:p>
        </w:tc>
        <w:tc>
          <w:tcPr>
            <w:tcW w:type="dxa" w:w="2340"/>
            <w:shd w:val="clear" w:color="auto" w:fill="1F3864"/>
          </w:tcPr>
          <w:p>
            <w:r>
              <w:rPr>
                <w:rFonts w:ascii="Calibri" w:hAnsi="Calibri"/>
                <w:b/>
                <w:color w:val="FFFFFF"/>
                <w:sz w:val="20"/>
              </w:rPr>
              <w:t>Date</w:t>
            </w:r>
          </w:p>
        </w:tc>
        <w:tc>
          <w:tcPr>
            <w:tcW w:type="dxa" w:w="2340"/>
            <w:shd w:val="clear" w:color="auto" w:fill="1F3864"/>
          </w:tcPr>
          <w:p>
            <w:r>
              <w:rPr>
                <w:rFonts w:ascii="Calibri" w:hAnsi="Calibri"/>
                <w:b/>
                <w:color w:val="FFFFFF"/>
                <w:sz w:val="20"/>
              </w:rPr>
              <w:t>Author / Reviser</w:t>
            </w:r>
          </w:p>
        </w:tc>
        <w:tc>
          <w:tcPr>
            <w:tcW w:type="dxa" w:w="2340"/>
            <w:shd w:val="clear" w:color="auto" w:fill="1F3864"/>
          </w:tcPr>
          <w:p>
            <w:r>
              <w:rPr>
                <w:rFonts w:ascii="Calibri" w:hAnsi="Calibri"/>
                <w:b/>
                <w:color w:val="FFFFFF"/>
                <w:sz w:val="20"/>
              </w:rPr>
              <w:t>Summary of Changes</w:t>
            </w:r>
          </w:p>
        </w:tc>
      </w:tr>
      <w:tr>
        <w:tc>
          <w:tcPr>
            <w:tcW w:type="dxa" w:w="1296"/>
          </w:tcPr>
          <w:p>
            <w:r>
              <w:rPr>
                <w:rFonts w:ascii="Calibri" w:hAnsi="Calibri"/>
                <w:sz w:val="20"/>
              </w:rPr>
              <w:t>1.0</w:t>
            </w:r>
          </w:p>
        </w:tc>
        <w:tc>
          <w:tcPr>
            <w:tcW w:type="dxa" w:w="1584"/>
          </w:tcPr>
          <w:p>
            <w:r>
              <w:rPr>
                <w:rFonts w:ascii="Calibri" w:hAnsi="Calibri"/>
                <w:sz w:val="20"/>
              </w:rPr>
              <w:t>[Date]</w:t>
            </w:r>
          </w:p>
        </w:tc>
        <w:tc>
          <w:tcPr>
            <w:tcW w:type="dxa" w:w="2880"/>
          </w:tcPr>
          <w:p>
            <w:r>
              <w:rPr>
                <w:rFonts w:ascii="Calibri" w:hAnsi="Calibri"/>
                <w:sz w:val="20"/>
              </w:rPr>
              <w:t>[Name]</w:t>
            </w:r>
          </w:p>
        </w:tc>
        <w:tc>
          <w:tcPr>
            <w:tcW w:type="dxa" w:w="3600"/>
          </w:tcPr>
          <w:p>
            <w:r>
              <w:rPr>
                <w:rFonts w:ascii="Calibri" w:hAnsi="Calibri"/>
                <w:sz w:val="20"/>
              </w:rPr>
              <w:t>Initial adoption of policy.</w:t>
            </w:r>
          </w:p>
        </w:tc>
      </w:tr>
      <w:tr>
        <w:tc>
          <w:tcPr>
            <w:tcW w:type="dxa" w:w="1296"/>
          </w:tcPr>
          <w:p>
            <w:r>
              <w:rPr>
                <w:rFonts w:ascii="Calibri" w:hAnsi="Calibri"/>
                <w:sz w:val="20"/>
              </w:rPr>
            </w:r>
          </w:p>
        </w:tc>
        <w:tc>
          <w:tcPr>
            <w:tcW w:type="dxa" w:w="1584"/>
          </w:tcPr>
          <w:p>
            <w:r>
              <w:rPr>
                <w:rFonts w:ascii="Calibri" w:hAnsi="Calibri"/>
                <w:sz w:val="20"/>
              </w:rPr>
            </w:r>
          </w:p>
        </w:tc>
        <w:tc>
          <w:tcPr>
            <w:tcW w:type="dxa" w:w="2880"/>
          </w:tcPr>
          <w:p>
            <w:r>
              <w:rPr>
                <w:rFonts w:ascii="Calibri" w:hAnsi="Calibri"/>
                <w:sz w:val="20"/>
              </w:rPr>
            </w:r>
          </w:p>
        </w:tc>
        <w:tc>
          <w:tcPr>
            <w:tcW w:type="dxa" w:w="3600"/>
          </w:tcPr>
          <w:p>
            <w:r>
              <w:rPr>
                <w:rFonts w:ascii="Calibri" w:hAnsi="Calibri"/>
                <w:sz w:val="20"/>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Charity Licences and Registrations Policy  |  [Organisation Name]  |  Template — customise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