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INCOME TAX EXEMPTIONS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Income Tax Exemptions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Purpose</w:t>
      </w:r>
    </w:p>
    <w:p>
      <w:pPr>
        <w:jc w:val="both"/>
      </w:pPr>
      <w:r>
        <w:t>This policy sets out how [Organisation Name] maintains its eligibility for income tax exemption under Australian law, ensuring ongoing compliance with the requirements of the Australian Taxation Office (ATO) and other relevant authorities.</w:t>
      </w:r>
    </w:p>
    <w:p>
      <w:pPr>
        <w:keepNext/>
        <w:spacing w:before="200" w:after="80"/>
      </w:pPr>
      <w:r>
        <w:rPr>
          <w:rFonts w:ascii="Calibri" w:hAnsi="Calibri"/>
          <w:b/>
          <w:color w:val="1F3864"/>
          <w:sz w:val="26"/>
        </w:rPr>
        <w:t>2. Scope</w:t>
      </w:r>
    </w:p>
    <w:p>
      <w:pPr>
        <w:jc w:val="both"/>
      </w:pPr>
      <w:r>
        <w:t>This policy applies to all operations, activities and financial transactions of the organisation. It covers the legal requirements for obtaining and retaining income tax exemption status within the regulatory framework that applies to Australian charities.</w:t>
      </w:r>
    </w:p>
    <w:p>
      <w:pPr>
        <w:keepNext/>
        <w:spacing w:before="200" w:after="80"/>
      </w:pPr>
      <w:r>
        <w:rPr>
          <w:rFonts w:ascii="Calibri" w:hAnsi="Calibri"/>
          <w:b/>
          <w:color w:val="1F3864"/>
          <w:sz w:val="26"/>
        </w:rPr>
        <w:t>3. Policy Statement</w:t>
      </w:r>
    </w:p>
    <w:p>
      <w:pPr>
        <w:jc w:val="both"/>
      </w:pPr>
      <w:r>
        <w:t>[Organisation Name] is committed to satisfying every eligibility criterion for income tax exemption set by the ATO. The organisation will ensure its charitable activities continue to meet the requirements for tax-exempt status and will keep accurate records to support that status.</w:t>
      </w:r>
    </w:p>
    <w:p>
      <w:pPr>
        <w:keepNext/>
        <w:spacing w:before="200" w:after="80"/>
      </w:pPr>
      <w:r>
        <w:rPr>
          <w:rFonts w:ascii="Calibri" w:hAnsi="Calibri"/>
          <w:b/>
          <w:color w:val="1F3864"/>
          <w:sz w:val="26"/>
        </w:rPr>
        <w:t>4. Legal and Regulatory Framework</w:t>
      </w:r>
    </w:p>
    <w:p>
      <w:pPr>
        <w:jc w:val="both"/>
      </w:pPr>
      <w:r>
        <w:t>This policy is governed by:</w:t>
      </w:r>
    </w:p>
    <w:p>
      <w:pPr>
        <w:pStyle w:val="ListBullet"/>
        <w:spacing w:after="60"/>
      </w:pPr>
      <w:r>
        <w:t>the Income Tax Assessment Act 1997 (Cth), in particular Division 50;</w:t>
      </w:r>
    </w:p>
    <w:p>
      <w:pPr>
        <w:pStyle w:val="ListBullet"/>
        <w:spacing w:after="60"/>
      </w:pPr>
      <w:r>
        <w:t>the Australian Charities and Not-for-profits Commission Act 2012 (Cth);</w:t>
      </w:r>
    </w:p>
    <w:p>
      <w:pPr>
        <w:pStyle w:val="ListBullet"/>
        <w:spacing w:after="60"/>
      </w:pPr>
      <w:r>
        <w:t>ATO guidance on income tax exemption; and</w:t>
      </w:r>
    </w:p>
    <w:p>
      <w:pPr>
        <w:pStyle w:val="ListBullet"/>
        <w:spacing w:after="60"/>
      </w:pPr>
      <w:r>
        <w:t>applicable state and territory legislation.</w:t>
      </w:r>
    </w:p>
    <w:p>
      <w:pPr>
        <w:keepNext/>
        <w:spacing w:before="200" w:after="80"/>
      </w:pPr>
      <w:r>
        <w:rPr>
          <w:rFonts w:ascii="Calibri" w:hAnsi="Calibri"/>
          <w:b/>
          <w:color w:val="1F3864"/>
          <w:sz w:val="26"/>
        </w:rPr>
        <w:t>5. Eligibility</w:t>
      </w:r>
    </w:p>
    <w:p>
      <w:pPr>
        <w:jc w:val="both"/>
      </w:pPr>
      <w:r>
        <w:t>To obtain and retain income tax exemption, the organisation must:</w:t>
      </w:r>
    </w:p>
    <w:p>
      <w:pPr>
        <w:pStyle w:val="ListBullet"/>
        <w:spacing w:after="60"/>
      </w:pPr>
      <w:r>
        <w:t>remain registered as a charity with the ACNC;</w:t>
      </w:r>
    </w:p>
    <w:p>
      <w:pPr>
        <w:pStyle w:val="ListBullet"/>
        <w:spacing w:after="60"/>
      </w:pPr>
      <w:r>
        <w:t>operate on a not-for-profit basis for charitable purposes such as relief of poverty, education, health or community welfare;</w:t>
      </w:r>
    </w:p>
    <w:p>
      <w:pPr>
        <w:pStyle w:val="ListBullet"/>
        <w:spacing w:after="60"/>
      </w:pPr>
      <w:r>
        <w:t>apply its income and assets solely to its charitable purposes; and</w:t>
      </w:r>
    </w:p>
    <w:p>
      <w:pPr>
        <w:pStyle w:val="ListBullet"/>
        <w:spacing w:after="60"/>
      </w:pPr>
      <w:r>
        <w:t>comply with ATO requirements not to distribute income or assets to members or directors.</w:t>
      </w:r>
    </w:p>
    <w:p>
      <w:pPr>
        <w:keepNext/>
        <w:spacing w:before="200" w:after="80"/>
      </w:pPr>
      <w:r>
        <w:rPr>
          <w:rFonts w:ascii="Calibri" w:hAnsi="Calibri"/>
          <w:b/>
          <w:color w:val="1F3864"/>
          <w:sz w:val="26"/>
        </w:rPr>
        <w:t>6. Procedures</w:t>
      </w:r>
    </w:p>
    <w:p>
      <w:pPr>
        <w:spacing w:before="80"/>
      </w:pPr>
      <w:r>
        <w:rPr>
          <w:rFonts w:ascii="Calibri" w:hAnsi="Calibri"/>
          <w:b/>
          <w:i/>
          <w:color w:val="1F3864"/>
          <w:sz w:val="22"/>
        </w:rPr>
        <w:t>6.1 Registration and Reporting</w:t>
      </w:r>
    </w:p>
    <w:p>
      <w:pPr>
        <w:pStyle w:val="ListBullet"/>
        <w:spacing w:after="60"/>
      </w:pPr>
      <w:r>
        <w:t>Maintain ACNC registration and lodge all required forms and documentation with the ATO and ACNC;</w:t>
      </w:r>
    </w:p>
    <w:p>
      <w:pPr>
        <w:pStyle w:val="ListBullet"/>
        <w:spacing w:after="60"/>
      </w:pPr>
      <w:r>
        <w:t>Prepare and submit annual financial reports to the ACNC; and</w:t>
      </w:r>
    </w:p>
    <w:p>
      <w:pPr>
        <w:pStyle w:val="ListBullet"/>
        <w:spacing w:after="60"/>
      </w:pPr>
      <w:r>
        <w:t>Promptly notify the ACNC and ATO of any significant change to activities or structure that could affect eligibility.</w:t>
      </w:r>
    </w:p>
    <w:p>
      <w:pPr>
        <w:spacing w:before="80"/>
      </w:pPr>
      <w:r>
        <w:rPr>
          <w:rFonts w:ascii="Calibri" w:hAnsi="Calibri"/>
          <w:b/>
          <w:i/>
          <w:color w:val="1F3864"/>
          <w:sz w:val="22"/>
        </w:rPr>
        <w:t>6.2 Use of Funds</w:t>
      </w:r>
    </w:p>
    <w:p>
      <w:pPr>
        <w:pStyle w:val="ListBullet"/>
        <w:spacing w:after="60"/>
      </w:pPr>
      <w:r>
        <w:t>Apply all income exclusively to charitable purposes;</w:t>
      </w:r>
    </w:p>
    <w:p>
      <w:pPr>
        <w:pStyle w:val="ListBullet"/>
        <w:spacing w:after="60"/>
      </w:pPr>
      <w:r>
        <w:t>Maintain strict records tracking the use of income and assets; and</w:t>
      </w:r>
    </w:p>
    <w:p>
      <w:pPr>
        <w:pStyle w:val="ListBullet"/>
        <w:spacing w:after="60"/>
      </w:pPr>
      <w:r>
        <w:t>Ensure no income or assets are distributed other than in furtherance of the charity's objectives.</w:t>
      </w:r>
    </w:p>
    <w:p>
      <w:pPr>
        <w:spacing w:before="80"/>
      </w:pPr>
      <w:r>
        <w:rPr>
          <w:rFonts w:ascii="Calibri" w:hAnsi="Calibri"/>
          <w:b/>
          <w:i/>
          <w:color w:val="1F3864"/>
          <w:sz w:val="22"/>
        </w:rPr>
        <w:t>6.3 Governance and Accountability</w:t>
      </w:r>
    </w:p>
    <w:p>
      <w:pPr>
        <w:pStyle w:val="ListBullet"/>
        <w:spacing w:after="60"/>
      </w:pPr>
      <w:r>
        <w:t>The governing body is responsible for overseeing compliance with tax-exemption requirements;</w:t>
      </w:r>
    </w:p>
    <w:p>
      <w:pPr>
        <w:pStyle w:val="ListBullet"/>
        <w:spacing w:after="60"/>
      </w:pPr>
      <w:r>
        <w:t>Directors and management must maintain internal controls that safeguard charitable status; and</w:t>
      </w:r>
    </w:p>
    <w:p>
      <w:pPr>
        <w:pStyle w:val="ListBullet"/>
        <w:spacing w:after="60"/>
      </w:pPr>
      <w:r>
        <w:t>Financial practices will be reviewed and audited regularly to confirm compliance with ATO and ACNC requirements.</w:t>
      </w:r>
    </w:p>
    <w:p>
      <w:pPr>
        <w:spacing w:before="80"/>
      </w:pPr>
      <w:r>
        <w:rPr>
          <w:rFonts w:ascii="Calibri" w:hAnsi="Calibri"/>
          <w:b/>
          <w:i/>
          <w:color w:val="1F3864"/>
          <w:sz w:val="22"/>
        </w:rPr>
        <w:t>6.4 Changes to Tax-Exemption Status</w:t>
      </w:r>
    </w:p>
    <w:p>
      <w:pPr>
        <w:pStyle w:val="ListBullet"/>
        <w:spacing w:after="60"/>
      </w:pPr>
      <w:r>
        <w:t>Identify any change to structure, operations or activities that could affect exemption and act to maintain compliance; and</w:t>
      </w:r>
    </w:p>
    <w:p>
      <w:pPr>
        <w:pStyle w:val="ListBullet"/>
        <w:spacing w:after="60"/>
      </w:pPr>
      <w:r>
        <w:t>Notify the ATO and ACNC of any change that may affect tax-exempt status, including changes to purpose, governance or activities.</w:t>
      </w:r>
    </w:p>
    <w:p>
      <w:pPr>
        <w:keepNext/>
        <w:spacing w:before="200" w:after="80"/>
      </w:pPr>
      <w:r>
        <w:rPr>
          <w:rFonts w:ascii="Calibri" w:hAnsi="Calibri"/>
          <w:b/>
          <w:color w:val="1F3864"/>
          <w:sz w:val="26"/>
        </w:rPr>
        <w:t>7. Record Keeping</w:t>
      </w:r>
    </w:p>
    <w:p>
      <w:pPr>
        <w:pStyle w:val="ListBullet"/>
        <w:spacing w:after="60"/>
      </w:pPr>
      <w:r>
        <w:t>Keep accurate, current records of financial transactions, governance decisions and compliance activities; and</w:t>
      </w:r>
    </w:p>
    <w:p>
      <w:pPr>
        <w:pStyle w:val="ListBullet"/>
        <w:spacing w:after="60"/>
      </w:pPr>
      <w:r>
        <w:t>Retain those records securely and accessibly for at least seven years, in line with Australian tax law and ACNC requirements.</w:t>
      </w:r>
    </w:p>
    <w:p>
      <w:pPr>
        <w:keepNext/>
        <w:spacing w:before="200" w:after="80"/>
      </w:pPr>
      <w:r>
        <w:rPr>
          <w:rFonts w:ascii="Calibri" w:hAnsi="Calibri"/>
          <w:b/>
          <w:color w:val="1F3864"/>
          <w:sz w:val="26"/>
        </w:rPr>
        <w:t>8. Training and Awareness</w:t>
      </w:r>
    </w:p>
    <w:p>
      <w:pPr>
        <w:pStyle w:val="ListBullet"/>
        <w:spacing w:after="60"/>
      </w:pPr>
      <w:r>
        <w:t>Provide regular training on income tax exemption requirements to all staff, directors and volunteers involved in finance or governance; and</w:t>
      </w:r>
    </w:p>
    <w:p>
      <w:pPr>
        <w:pStyle w:val="ListBullet"/>
        <w:spacing w:after="60"/>
      </w:pPr>
      <w:r>
        <w:t>Ensure relevant personnel understand their role in maintaining the organisation's tax-exempt status.</w:t>
      </w:r>
    </w:p>
    <w:p>
      <w:pPr>
        <w:keepNext/>
        <w:spacing w:before="200" w:after="80"/>
      </w:pPr>
      <w:r>
        <w:rPr>
          <w:rFonts w:ascii="Calibri" w:hAnsi="Calibri"/>
          <w:b/>
          <w:color w:val="1F3864"/>
          <w:sz w:val="26"/>
        </w:rPr>
        <w:t>9. Compliance and Monitoring</w:t>
      </w:r>
    </w:p>
    <w:p>
      <w:pPr>
        <w:pStyle w:val="ListBullet"/>
        <w:spacing w:after="60"/>
      </w:pPr>
      <w:r>
        <w:t>Monitor compliance with this policy and conduct internal audits where needed; and</w:t>
      </w:r>
    </w:p>
    <w:p>
      <w:pPr>
        <w:pStyle w:val="ListBullet"/>
        <w:spacing w:after="60"/>
      </w:pPr>
      <w:r>
        <w:t>Address any non-compliance, or any activity that could jeopardise exemption, immediately and with corrective action.</w:t>
      </w:r>
    </w:p>
    <w:p>
      <w:pPr>
        <w:keepNext/>
        <w:spacing w:before="200" w:after="80"/>
      </w:pPr>
      <w:r>
        <w:rPr>
          <w:rFonts w:ascii="Calibri" w:hAnsi="Calibri"/>
          <w:b/>
          <w:color w:val="1F3864"/>
          <w:sz w:val="26"/>
        </w:rPr>
        <w:t>10. Responsibilities</w:t>
      </w:r>
    </w:p>
    <w:p>
      <w:pPr>
        <w:pStyle w:val="ListBullet"/>
        <w:spacing w:after="60"/>
      </w:pPr>
      <w:r>
        <w:t>Board of Directors — overall compliance with income tax exemption law and oversight of governance and management;</w:t>
      </w:r>
    </w:p>
    <w:p>
      <w:pPr>
        <w:pStyle w:val="ListBullet"/>
        <w:spacing w:after="60"/>
      </w:pPr>
      <w:r>
        <w:t>Chief Financial Officer (or equivalent) — financial management and reporting, ensuring funds are used consistently with tax-exempt status;</w:t>
      </w:r>
    </w:p>
    <w:p>
      <w:pPr>
        <w:pStyle w:val="ListBullet"/>
        <w:spacing w:after="60"/>
      </w:pPr>
      <w:r>
        <w:t>Compliance Officer — monitoring regulatory change and keeping exemption status current; and</w:t>
      </w:r>
    </w:p>
    <w:p>
      <w:pPr>
        <w:pStyle w:val="ListBullet"/>
        <w:spacing w:after="60"/>
      </w:pPr>
      <w:r>
        <w:t>Staff and Volunteers — following the policies and procedures that support exemption compliance.</w:t>
      </w:r>
    </w:p>
    <w:p>
      <w:pPr>
        <w:keepNext/>
        <w:spacing w:before="200" w:after="80"/>
      </w:pPr>
      <w:r>
        <w:rPr>
          <w:rFonts w:ascii="Calibri" w:hAnsi="Calibri"/>
          <w:b/>
          <w:color w:val="1F3864"/>
          <w:sz w:val="26"/>
        </w:rPr>
        <w:t>11. Review</w:t>
      </w:r>
    </w:p>
    <w:p>
      <w:pPr>
        <w:jc w:val="both"/>
      </w:pPr>
      <w:r>
        <w:t>This policy will be reviewed annually to reflect the latest legal and regulatory requirements, and updated as needed to keep pace with changes in Australian tax law or charity governance standards.</w:t>
      </w:r>
    </w:p>
    <w:p>
      <w:r>
        <w:rPr>
          <w:rFonts w:ascii="Calibri" w:hAnsi="Calibri"/>
          <w:i/>
          <w:color w:val="595959"/>
          <w:sz w:val="20"/>
        </w:rPr>
        <w:t>Approved by: [Name], [Title], [Date]. Next review date: [Date].</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Income Tax Exemptions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