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AMBASSADOR INDUCTION PROCEDURE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Ambassador Induction Procedure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Pre-Induction Preparation</w:t>
      </w:r>
    </w:p>
    <w:p>
      <w:pPr>
        <w:pStyle w:val="ListBullet"/>
        <w:spacing w:after="60"/>
      </w:pPr>
      <w:r>
        <w:t>prepare a welcome pack (welcome letter, brochures, mission and vision statements and any forms); and</w:t>
      </w:r>
    </w:p>
    <w:p>
      <w:pPr>
        <w:pStyle w:val="ListBullet"/>
        <w:spacing w:after="60"/>
      </w:pPr>
      <w:r>
        <w:t>send a welcome email introducing key contacts and outlining the induction schedule.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Initial Orientation</w:t>
      </w:r>
    </w:p>
    <w:p>
      <w:pPr>
        <w:pStyle w:val="ListBullet"/>
        <w:spacing w:after="60"/>
      </w:pPr>
      <w:r>
        <w:t>hold a welcome meeting (in person or virtual) with the Executive Director or a senior staff member; and</w:t>
      </w:r>
    </w:p>
    <w:p>
      <w:pPr>
        <w:pStyle w:val="ListBullet"/>
        <w:spacing w:after="60"/>
      </w:pPr>
      <w:r>
        <w:t>present the organisation's history, mission, vision, values and key programs and impact areas.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Roles and Responsibilities</w:t>
      </w:r>
    </w:p>
    <w:p>
      <w:pPr>
        <w:pStyle w:val="ListBullet"/>
        <w:spacing w:after="60"/>
      </w:pPr>
      <w:r>
        <w:t>review the ambassador's role, duties, expectations and goals and how they support the mission; and</w:t>
      </w:r>
    </w:p>
    <w:p>
      <w:pPr>
        <w:pStyle w:val="ListBullet"/>
        <w:spacing w:after="60"/>
      </w:pPr>
      <w:r>
        <w:t>go through the Ambassador Agreement, confirming understanding of the terms and code of conduct.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Policies and Procedures</w:t>
      </w:r>
    </w:p>
    <w:p>
      <w:pPr>
        <w:pStyle w:val="ListBullet"/>
        <w:spacing w:after="60"/>
      </w:pPr>
      <w:r>
        <w:t>review the code of conduct and the importance of ethical, professional behaviour;</w:t>
      </w:r>
    </w:p>
    <w:p>
      <w:pPr>
        <w:pStyle w:val="ListBullet"/>
        <w:spacing w:after="60"/>
      </w:pPr>
      <w:r>
        <w:t>explain the conflict of interest policy with examples; and</w:t>
      </w:r>
    </w:p>
    <w:p>
      <w:pPr>
        <w:pStyle w:val="ListBullet"/>
        <w:spacing w:after="60"/>
      </w:pPr>
      <w:r>
        <w:t>outline internal and external communication protocols, including social media.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Training and Development</w:t>
      </w:r>
    </w:p>
    <w:p>
      <w:pPr>
        <w:pStyle w:val="ListBullet"/>
        <w:spacing w:after="60"/>
      </w:pPr>
      <w:r>
        <w:t>provide initial training on key messages, branding and advocacy, and public speaking/media engagement where relevant; and</w:t>
      </w:r>
    </w:p>
    <w:p>
      <w:pPr>
        <w:pStyle w:val="ListBullet"/>
        <w:spacing w:after="60"/>
      </w:pPr>
      <w:r>
        <w:t>schedule ongoing training on topics such as fundraising, event planning and volunteer management.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Introductions and Mentorship</w:t>
      </w:r>
    </w:p>
    <w:p>
      <w:pPr>
        <w:pStyle w:val="ListBullet"/>
        <w:spacing w:after="60"/>
      </w:pPr>
      <w:r>
        <w:t>introduce key staff and volunteers and explain how they will work with the ambassador; and</w:t>
      </w:r>
    </w:p>
    <w:p>
      <w:pPr>
        <w:pStyle w:val="ListBullet"/>
        <w:spacing w:after="60"/>
      </w:pPr>
      <w:r>
        <w:t>assign a mentor or point of contact for the initial period.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Engagement and Involvement</w:t>
      </w:r>
    </w:p>
    <w:p>
      <w:pPr>
        <w:pStyle w:val="ListBullet"/>
        <w:spacing w:after="60"/>
      </w:pPr>
      <w:r>
        <w:t>discuss the projects or events the ambassador will support and their expected contribution; and</w:t>
      </w:r>
    </w:p>
    <w:p>
      <w:pPr>
        <w:pStyle w:val="ListBullet"/>
        <w:spacing w:after="60"/>
      </w:pPr>
      <w:r>
        <w:t>provide opportunities to meet beneficiaries and attend community events.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8. Monitoring and Feedback</w:t>
      </w:r>
    </w:p>
    <w:p>
      <w:pPr>
        <w:pStyle w:val="ListBullet"/>
        <w:spacing w:after="60"/>
      </w:pPr>
      <w:r>
        <w:t>schedule regular check-ins to discuss progress and address concerns; and</w:t>
      </w:r>
    </w:p>
    <w:p>
      <w:pPr>
        <w:pStyle w:val="ListBullet"/>
        <w:spacing w:after="60"/>
      </w:pPr>
      <w:r>
        <w:t>conduct periodic performance reviews.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9. Resources and Support</w:t>
      </w:r>
    </w:p>
    <w:p>
      <w:pPr>
        <w:pStyle w:val="ListBullet"/>
        <w:spacing w:after="60"/>
      </w:pPr>
      <w:r>
        <w:t>provide a resource kit (promotional materials, fact sheets, contact lists); and</w:t>
      </w:r>
    </w:p>
    <w:p>
      <w:pPr>
        <w:pStyle w:val="ListBullet"/>
        <w:spacing w:after="60"/>
      </w:pPr>
      <w:r>
        <w:t>explain the support available, including access to staff, training and additional resources.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10. Recognition</w:t>
      </w:r>
    </w:p>
    <w:p>
      <w:pPr>
        <w:pStyle w:val="ListBullet"/>
        <w:spacing w:after="60"/>
      </w:pPr>
      <w:r>
        <w:t>recognise the ambassador's efforts through acknowledgements, awards or mentions; and</w:t>
      </w:r>
    </w:p>
    <w:p>
      <w:pPr>
        <w:pStyle w:val="ListBullet"/>
        <w:spacing w:after="60"/>
      </w:pPr>
      <w:r>
        <w:t>invite feedback on the induction to improve it for future ambassadors.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Ambassador Induction Procedure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