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BOARD CONFLICT OF INTEREST REGISTER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Board Conflict of Interest Register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ensures that all actual, potential and perceived conflicts of interest involving members of the Board of [Organisation Name] are identified, recorded and managed consistently and transparently, protecting the integrity and reputation of the organisation and its decision-making.</w:t>
      </w:r>
    </w:p>
    <w:p>
      <w:pPr>
        <w:keepNext/>
        <w:spacing w:before="200" w:after="80"/>
      </w:pPr>
      <w:r>
        <w:rPr>
          <w:rFonts w:ascii="Calibri" w:hAnsi="Calibri"/>
          <w:b/>
          <w:color w:val="1F3864"/>
          <w:sz w:val="26"/>
        </w:rPr>
        <w:t>2. Scope</w:t>
      </w:r>
    </w:p>
    <w:p>
      <w:pPr>
        <w:jc w:val="both"/>
      </w:pPr>
      <w:r>
        <w:t>This policy applies to all members of the Board, including executive, non-executive and independent directors.</w:t>
      </w:r>
    </w:p>
    <w:p>
      <w:pPr>
        <w:keepNext/>
        <w:spacing w:before="200" w:after="80"/>
      </w:pPr>
      <w:r>
        <w:rPr>
          <w:rFonts w:ascii="Calibri" w:hAnsi="Calibri"/>
          <w:b/>
          <w:color w:val="1F3864"/>
          <w:sz w:val="26"/>
        </w:rPr>
        <w:t>3. Definitions</w:t>
      </w:r>
    </w:p>
    <w:p>
      <w:pPr>
        <w:pStyle w:val="ListBullet"/>
        <w:spacing w:after="60"/>
      </w:pPr>
      <w:r>
        <w:t>Conflict of Interest — a situation where a director's personal, professional or financial interests could influence, or appear to influence, board decisions; and</w:t>
      </w:r>
    </w:p>
    <w:p>
      <w:pPr>
        <w:pStyle w:val="ListBullet"/>
        <w:spacing w:after="60"/>
      </w:pPr>
      <w:r>
        <w:t>Register of Interests — a formal record of all conflicts of interest, including the nature of each conflict and the action taken to manage it.</w:t>
      </w:r>
    </w:p>
    <w:p>
      <w:pPr>
        <w:keepNext/>
        <w:spacing w:before="200" w:after="80"/>
      </w:pPr>
      <w:r>
        <w:rPr>
          <w:rFonts w:ascii="Calibri" w:hAnsi="Calibri"/>
          <w:b/>
          <w:color w:val="1F3864"/>
          <w:sz w:val="26"/>
        </w:rPr>
        <w:t>4. Policy Statement</w:t>
      </w:r>
    </w:p>
    <w:p>
      <w:pPr>
        <w:jc w:val="both"/>
      </w:pPr>
      <w:r>
        <w:t>[Organisation Name] is committed to the highest standards of integrity and accountability. Directors must act in the organisation's best interests and avoid any situation where personal interests conflict, or appear to conflict, with their duties.</w:t>
      </w:r>
    </w:p>
    <w:p>
      <w:pPr>
        <w:keepNext/>
        <w:spacing w:before="200" w:after="80"/>
      </w:pPr>
      <w:r>
        <w:rPr>
          <w:rFonts w:ascii="Calibri" w:hAnsi="Calibri"/>
          <w:b/>
          <w:color w:val="1F3864"/>
          <w:sz w:val="26"/>
        </w:rPr>
        <w:t>5. Identifying Conflicts</w:t>
      </w:r>
    </w:p>
    <w:p>
      <w:pPr>
        <w:jc w:val="both"/>
      </w:pPr>
      <w:r>
        <w:t>Directors are responsible for identifying conflicts. Situations that may give rise to one include:</w:t>
      </w:r>
    </w:p>
    <w:p>
      <w:pPr>
        <w:pStyle w:val="ListBullet"/>
        <w:spacing w:after="60"/>
      </w:pPr>
      <w:r>
        <w:t>a personal financial interest in a transaction or decision;</w:t>
      </w:r>
    </w:p>
    <w:p>
      <w:pPr>
        <w:pStyle w:val="ListBullet"/>
        <w:spacing w:after="60"/>
      </w:pPr>
      <w:r>
        <w:t>a professional relationship with an entity doing business with the organisation;</w:t>
      </w:r>
    </w:p>
    <w:p>
      <w:pPr>
        <w:pStyle w:val="ListBullet"/>
        <w:spacing w:after="60"/>
      </w:pPr>
      <w:r>
        <w:t>a personal relationship with staff, volunteers or other directors; and</w:t>
      </w:r>
    </w:p>
    <w:p>
      <w:pPr>
        <w:pStyle w:val="ListBullet"/>
        <w:spacing w:after="60"/>
      </w:pPr>
      <w:r>
        <w:t>acceptance of gifts or hospitality from parties seeking to influence decisions.</w:t>
      </w:r>
    </w:p>
    <w:p>
      <w:pPr>
        <w:keepNext/>
        <w:spacing w:before="200" w:after="80"/>
      </w:pPr>
      <w:r>
        <w:rPr>
          <w:rFonts w:ascii="Calibri" w:hAnsi="Calibri"/>
          <w:b/>
          <w:color w:val="1F3864"/>
          <w:sz w:val="26"/>
        </w:rPr>
        <w:t>6. Declaration of Interests</w:t>
      </w:r>
    </w:p>
    <w:p>
      <w:pPr>
        <w:pStyle w:val="ListBullet"/>
        <w:spacing w:after="60"/>
      </w:pPr>
      <w:r>
        <w:t>Initial declaration — each director completes a Declaration of Interests form on appointment;</w:t>
      </w:r>
    </w:p>
    <w:p>
      <w:pPr>
        <w:pStyle w:val="ListBullet"/>
        <w:spacing w:after="60"/>
      </w:pPr>
      <w:r>
        <w:t>Ongoing disclosure — new conflicts are disclosed promptly using the same form; and</w:t>
      </w:r>
    </w:p>
    <w:p>
      <w:pPr>
        <w:pStyle w:val="ListBullet"/>
        <w:spacing w:after="60"/>
      </w:pPr>
      <w:r>
        <w:t>Annual review — directors review and update their declaration each year.</w:t>
      </w:r>
    </w:p>
    <w:p>
      <w:pPr>
        <w:keepNext/>
        <w:spacing w:before="200" w:after="80"/>
      </w:pPr>
      <w:r>
        <w:rPr>
          <w:rFonts w:ascii="Calibri" w:hAnsi="Calibri"/>
          <w:b/>
          <w:color w:val="1F3864"/>
          <w:sz w:val="26"/>
        </w:rPr>
        <w:t>7. Register of Interests</w:t>
      </w:r>
    </w:p>
    <w:p>
      <w:pPr>
        <w:pStyle w:val="ListBullet"/>
        <w:spacing w:after="60"/>
      </w:pPr>
      <w:r>
        <w:t>the [Secretary / Designated Officer] maintains the Register of Interests;</w:t>
      </w:r>
    </w:p>
    <w:p>
      <w:pPr>
        <w:pStyle w:val="ListBullet"/>
        <w:spacing w:after="60"/>
      </w:pPr>
      <w:r>
        <w:t>the Register is reviewed by the Board annually and updated as needed; and</w:t>
      </w:r>
    </w:p>
    <w:p>
      <w:pPr>
        <w:pStyle w:val="ListBullet"/>
        <w:spacing w:after="60"/>
      </w:pPr>
      <w:r>
        <w:t>the Register is accessible to all directors and relevant regulators.</w:t>
      </w:r>
    </w:p>
    <w:p>
      <w:pPr>
        <w:keepNext/>
        <w:spacing w:before="200" w:after="80"/>
      </w:pPr>
      <w:r>
        <w:rPr>
          <w:rFonts w:ascii="Calibri" w:hAnsi="Calibri"/>
          <w:b/>
          <w:color w:val="1F3864"/>
          <w:sz w:val="26"/>
        </w:rPr>
        <w:t>8. Managing Conflicts</w:t>
      </w:r>
    </w:p>
    <w:p>
      <w:pPr>
        <w:pStyle w:val="ListBullet"/>
        <w:spacing w:after="60"/>
      </w:pPr>
      <w:r>
        <w:t>members declare conflicts relating to agenda items at the start of each meeting;</w:t>
      </w:r>
    </w:p>
    <w:p>
      <w:pPr>
        <w:pStyle w:val="ListBullet"/>
        <w:spacing w:after="60"/>
      </w:pPr>
      <w:r>
        <w:t>all declarations are recorded in the minutes;</w:t>
      </w:r>
    </w:p>
    <w:p>
      <w:pPr>
        <w:pStyle w:val="ListBullet"/>
        <w:spacing w:after="60"/>
      </w:pPr>
      <w:r>
        <w:t>the Board decides how to manage each conflict — excluding the member from related discussion and decisions, referring the matter to a subcommittee or independent party, or seeking professional advice; and</w:t>
      </w:r>
    </w:p>
    <w:p>
      <w:pPr>
        <w:pStyle w:val="ListBullet"/>
        <w:spacing w:after="60"/>
      </w:pPr>
      <w:r>
        <w:t>actions taken are documented in the Register and minutes.</w:t>
      </w:r>
    </w:p>
    <w:p>
      <w:pPr>
        <w:keepNext/>
        <w:spacing w:before="200" w:after="80"/>
      </w:pPr>
      <w:r>
        <w:rPr>
          <w:rFonts w:ascii="Calibri" w:hAnsi="Calibri"/>
          <w:b/>
          <w:color w:val="1F3864"/>
          <w:sz w:val="26"/>
        </w:rPr>
        <w:t>9. Non-Compliance</w:t>
      </w:r>
    </w:p>
    <w:p>
      <w:pPr>
        <w:jc w:val="both"/>
      </w:pPr>
      <w:r>
        <w:t>Failure to comply may result in disciplinary action up to and including removal from the Board, addressed under the organisation's governance procedures.</w:t>
      </w:r>
    </w:p>
    <w:p>
      <w:pPr>
        <w:keepNext/>
        <w:spacing w:before="200" w:after="80"/>
      </w:pPr>
      <w:r>
        <w:rPr>
          <w:rFonts w:ascii="Calibri" w:hAnsi="Calibri"/>
          <w:b/>
          <w:color w:val="1F3864"/>
          <w:sz w:val="26"/>
        </w:rPr>
        <w:t>10. Review</w:t>
      </w:r>
    </w:p>
    <w:p>
      <w:pPr>
        <w:jc w:val="both"/>
      </w:pPr>
      <w:r>
        <w:t>This policy is reviewed annually by the Board and amended as necessary.</w:t>
      </w:r>
    </w:p>
    <w:p>
      <w:r>
        <w:rPr>
          <w:rFonts w:ascii="Calibri" w:hAnsi="Calibri"/>
          <w:i/>
          <w:color w:val="595959"/>
          <w:sz w:val="20"/>
        </w:rPr>
        <w:t>Approved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Board Conflict of Interest Register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