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CHARITY AMBASSADOR INSURANCE OBLIGATIONS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Charity Ambassador Insurance Obligations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the safety and wellbeing of its ambassadors. This policy sets out the insurance obligations that protect ambassadors against the risks associated with their role.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jc w:val="both"/>
      </w:pPr>
      <w:r>
        <w:t>This policy defines the insurance required for ambassadors, ensures they are adequately covered, supports compliance with Australian law, and provides clear guidance on obtaining and maintaining cover.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individuals designated as ambassadors for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Types of Cover</w:t>
      </w:r>
    </w:p>
    <w:p>
      <w:pPr>
        <w:pStyle w:val="ListBullet"/>
        <w:spacing w:after="60"/>
      </w:pPr>
      <w:r>
        <w:t>Public Liability — covers claims for personal injury or property damage to third parties during charity activities; minimum cover [e.g. AUD 5 million];</w:t>
      </w:r>
    </w:p>
    <w:p>
      <w:pPr>
        <w:pStyle w:val="ListBullet"/>
        <w:spacing w:after="60"/>
      </w:pPr>
      <w:r>
        <w:t>Personal Accident — covers medical expenses, loss of income and related costs from accidental injury while performing ambassador duties; minimum cover [amount];</w:t>
      </w:r>
    </w:p>
    <w:p>
      <w:pPr>
        <w:pStyle w:val="ListBullet"/>
        <w:spacing w:after="60"/>
      </w:pPr>
      <w:r>
        <w:t>Professional Indemnity — covers claims of negligence, error or omission in performing duties; minimum cover [amount]; and</w:t>
      </w:r>
    </w:p>
    <w:p>
      <w:pPr>
        <w:pStyle w:val="ListBullet"/>
        <w:spacing w:after="60"/>
      </w:pPr>
      <w:r>
        <w:t>Travel Insurance (where applicable) — covers medical expenses, cancellations, lost luggage and other risks for domestic or international travel; minimum cover [amount].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Procurement and Maintenance</w:t>
      </w:r>
    </w:p>
    <w:p>
      <w:pPr>
        <w:pStyle w:val="ListBullet"/>
        <w:spacing w:after="60"/>
      </w:pPr>
      <w:r>
        <w:t>the organisation assists ambassadors to obtain cover through recommended providers, and proof of cover must be provided before duties commence; and</w:t>
      </w:r>
    </w:p>
    <w:p>
      <w:pPr>
        <w:pStyle w:val="ListBullet"/>
        <w:spacing w:after="60"/>
      </w:pPr>
      <w:r>
        <w:t>ambassadors maintain their cover for the duration of their role and notify the organisation immediately of any change or lapse.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Financial Responsibility</w:t>
      </w:r>
    </w:p>
    <w:p>
      <w:pPr>
        <w:jc w:val="both"/>
      </w:pPr>
      <w:r>
        <w:t>The organisation may meet the cost of premiums, subject to management approval; where applicable, ambassadors submit premium invoices for reimbursement.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Claims and Reporting</w:t>
      </w:r>
    </w:p>
    <w:p>
      <w:pPr>
        <w:pStyle w:val="ListBullet"/>
        <w:spacing w:after="60"/>
      </w:pPr>
      <w:r>
        <w:t>ambassadors report any incident or accident to the designated contact immediately and submit a detailed report within [timeframe, e.g. 24 hours]; and</w:t>
      </w:r>
    </w:p>
    <w:p>
      <w:pPr>
        <w:pStyle w:val="ListBullet"/>
        <w:spacing w:after="60"/>
      </w:pPr>
      <w:r>
        <w:t>ambassadors follow the insurer's claims process, with assistance from the organisation as needed.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</w:t>
      </w:r>
    </w:p>
    <w:p>
      <w:pPr>
        <w:jc w:val="both"/>
      </w:pPr>
      <w:r>
        <w:t>Non-compliance with this policy may result in termination of the ambassador role, and any breach of insurance obligations must be reported to the designated officer immediately.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Responsibilities</w:t>
      </w:r>
    </w:p>
    <w:p>
      <w:pPr>
        <w:pStyle w:val="ListBullet"/>
        <w:spacing w:after="60"/>
      </w:pPr>
      <w:r>
        <w:t>Management — implements the policy, allocates resources for cover and reviews compliance; and</w:t>
      </w:r>
    </w:p>
    <w:p>
      <w:pPr>
        <w:pStyle w:val="ListBullet"/>
        <w:spacing w:after="60"/>
      </w:pPr>
      <w:r>
        <w:t>Ambassadors — obtain and maintain cover and report incidents or changes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Review</w:t>
      </w:r>
    </w:p>
    <w:p>
      <w:pPr>
        <w:jc w:val="both"/>
      </w:pPr>
      <w:r>
        <w:t>This policy is reviewed annually, or as required, to reflect changes in legislation, good practice or organisational needs.</w:t>
      </w:r>
    </w:p>
    <w:p>
      <w:r>
        <w:rPr>
          <w:rFonts w:ascii="Calibri" w:hAnsi="Calibri"/>
          <w:i/>
          <w:color w:val="595959"/>
          <w:sz w:val="20"/>
        </w:rPr>
        <w:t>Insurance enquiries: [Designated Insurance Officer — Name and Contact]. Emergency services in Australia: 000.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Charity Ambassador Insurance Obligations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