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DIRECTORS HANDBOOK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Directors Handbook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Welcome to the Board of Directors of [Organisation Name]. This handbook is a practical guide to your role, setting out your responsibilities, the organisation's structure, and the key policies and procedures you will work with, so you are equipped to govern effectively.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About the Organisation</w:t>
      </w:r>
    </w:p>
    <w:p>
      <w:pPr>
        <w:pStyle w:val="ListBullet"/>
        <w:spacing w:after="60"/>
      </w:pPr>
      <w:r>
        <w:t>Mission — [state the organisation's mission];</w:t>
      </w:r>
    </w:p>
    <w:p>
      <w:pPr>
        <w:pStyle w:val="ListBullet"/>
        <w:spacing w:after="60"/>
      </w:pPr>
      <w:r>
        <w:t>Vision — [state the organisation's vision]; and</w:t>
      </w:r>
    </w:p>
    <w:p>
      <w:pPr>
        <w:pStyle w:val="ListBullet"/>
        <w:spacing w:after="60"/>
      </w:pPr>
      <w:r>
        <w:t>Core values — compassion, integrity, accountability, inclusivity and excellence (tailor as appropriate).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Governance and Leadership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Board roles</w:t>
      </w:r>
    </w:p>
    <w:p>
      <w:pPr>
        <w:pStyle w:val="ListBullet"/>
        <w:spacing w:after="60"/>
      </w:pPr>
      <w:r>
        <w:t>Chair — leads board meetings, represents the organisation and ensures the Board functions effectively;</w:t>
      </w:r>
    </w:p>
    <w:p>
      <w:pPr>
        <w:pStyle w:val="ListBullet"/>
        <w:spacing w:after="60"/>
      </w:pPr>
      <w:r>
        <w:t>Vice-Chair — supports the Chair and acts when the Chair is unavailable;</w:t>
      </w:r>
    </w:p>
    <w:p>
      <w:pPr>
        <w:pStyle w:val="ListBullet"/>
        <w:spacing w:after="60"/>
      </w:pPr>
      <w:r>
        <w:t>Secretary — manages documentation, records minutes and ensures legal compliance;</w:t>
      </w:r>
    </w:p>
    <w:p>
      <w:pPr>
        <w:pStyle w:val="ListBullet"/>
        <w:spacing w:after="60"/>
      </w:pPr>
      <w:r>
        <w:t>Treasurer — oversees financial management, budgeting and reporting; and</w:t>
      </w:r>
    </w:p>
    <w:p>
      <w:pPr>
        <w:pStyle w:val="ListBullet"/>
        <w:spacing w:after="60"/>
      </w:pPr>
      <w:r>
        <w:t>Directors — participate in meetings, provide strategic oversight and support fundraising and programs.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Key policies</w:t>
      </w:r>
    </w:p>
    <w:p>
      <w:pPr>
        <w:pStyle w:val="ListBullet"/>
        <w:spacing w:after="60"/>
      </w:pPr>
      <w:r>
        <w:t>Conflict of Interest Policy;</w:t>
      </w:r>
    </w:p>
    <w:p>
      <w:pPr>
        <w:pStyle w:val="ListBullet"/>
        <w:spacing w:after="60"/>
      </w:pPr>
      <w:r>
        <w:t>Financial Management Policy;</w:t>
      </w:r>
    </w:p>
    <w:p>
      <w:pPr>
        <w:pStyle w:val="ListBullet"/>
        <w:spacing w:after="60"/>
      </w:pPr>
      <w:r>
        <w:t>Human Resources Policy;</w:t>
      </w:r>
    </w:p>
    <w:p>
      <w:pPr>
        <w:pStyle w:val="ListBullet"/>
        <w:spacing w:after="60"/>
      </w:pPr>
      <w:r>
        <w:t>Program Management Policy; and</w:t>
      </w:r>
    </w:p>
    <w:p>
      <w:pPr>
        <w:pStyle w:val="ListBullet"/>
        <w:spacing w:after="60"/>
      </w:pPr>
      <w:r>
        <w:t>Risk Management Policy.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Legal and Ethical Responsibilities</w:t>
      </w:r>
    </w:p>
    <w:p>
      <w:pPr>
        <w:pStyle w:val="ListBullet"/>
        <w:spacing w:after="60"/>
      </w:pPr>
      <w:r>
        <w:t>comply with all relevant Australian law, including ACNC governance standards;</w:t>
      </w:r>
    </w:p>
    <w:p>
      <w:pPr>
        <w:pStyle w:val="ListBullet"/>
        <w:spacing w:after="60"/>
      </w:pPr>
      <w:r>
        <w:t>uphold the highest standards of integrity and the organisation's Code of Conduct; and</w:t>
      </w:r>
    </w:p>
    <w:p>
      <w:pPr>
        <w:pStyle w:val="ListBullet"/>
        <w:spacing w:after="60"/>
      </w:pPr>
      <w:r>
        <w:t>for conflicts of interest — declare promptly, recuse from related decisions and ensure disclosures and actions are minuted.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Financial Management</w:t>
      </w:r>
    </w:p>
    <w:p>
      <w:pPr>
        <w:pStyle w:val="ListBullet"/>
        <w:spacing w:after="60"/>
      </w:pPr>
      <w:r>
        <w:t>Budgeting — work with the Treasurer and Executive Director to prepare and approve the annual budget, aligned with strategy and sustainability;</w:t>
      </w:r>
    </w:p>
    <w:p>
      <w:pPr>
        <w:pStyle w:val="ListBullet"/>
        <w:spacing w:after="60"/>
      </w:pPr>
      <w:r>
        <w:t>Reporting and audits — review regular financial reports and facilitate annual external audits; and</w:t>
      </w:r>
    </w:p>
    <w:p>
      <w:pPr>
        <w:pStyle w:val="ListBullet"/>
        <w:spacing w:after="60"/>
      </w:pPr>
      <w:r>
        <w:t>Fundraising and donations — ensure activities align with the mission and the law, and that donations are accurately recorded and used as intended.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Human Resources</w:t>
      </w:r>
    </w:p>
    <w:p>
      <w:pPr>
        <w:pStyle w:val="ListBullet"/>
        <w:spacing w:after="60"/>
      </w:pPr>
      <w:r>
        <w:t>follow fair, transparent recruitment and provide comprehensive onboarding;</w:t>
      </w:r>
    </w:p>
    <w:p>
      <w:pPr>
        <w:pStyle w:val="ListBullet"/>
        <w:spacing w:after="60"/>
      </w:pPr>
      <w:r>
        <w:t>identify training needs and encourage continuous development; and</w:t>
      </w:r>
    </w:p>
    <w:p>
      <w:pPr>
        <w:pStyle w:val="ListBullet"/>
        <w:spacing w:after="60"/>
      </w:pPr>
      <w:r>
        <w:t>conduct performance appraisals and operate a confidential grievance process.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Program Management</w:t>
      </w:r>
    </w:p>
    <w:p>
      <w:pPr>
        <w:pStyle w:val="ListBullet"/>
        <w:spacing w:after="60"/>
      </w:pPr>
      <w:r>
        <w:t>base new programs on community needs assessments and secure Board approval;</w:t>
      </w:r>
    </w:p>
    <w:p>
      <w:pPr>
        <w:pStyle w:val="ListBullet"/>
        <w:spacing w:after="60"/>
      </w:pPr>
      <w:r>
        <w:t>develop detailed plans with objectives, timelines and resources, and monitor effectiveness; and</w:t>
      </w:r>
    </w:p>
    <w:p>
      <w:pPr>
        <w:pStyle w:val="ListBullet"/>
        <w:spacing w:after="60"/>
      </w:pPr>
      <w:r>
        <w:t>report program outcomes internally and to stakeholders and donors.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Risk Management</w:t>
      </w:r>
    </w:p>
    <w:p>
      <w:pPr>
        <w:pStyle w:val="ListBullet"/>
        <w:spacing w:after="60"/>
      </w:pPr>
      <w:r>
        <w:t>conduct regular risk assessments and maintain a risk register;</w:t>
      </w:r>
    </w:p>
    <w:p>
      <w:pPr>
        <w:pStyle w:val="ListBullet"/>
        <w:spacing w:after="60"/>
      </w:pPr>
      <w:r>
        <w:t>develop, implement and monitor mitigation strategies; and</w:t>
      </w:r>
    </w:p>
    <w:p>
      <w:pPr>
        <w:pStyle w:val="ListBullet"/>
        <w:spacing w:after="60"/>
      </w:pPr>
      <w:r>
        <w:t>establish crisis and emergency procedures and ensure staff and volunteers are trained.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Communication and Public Relations</w:t>
      </w:r>
    </w:p>
    <w:p>
      <w:pPr>
        <w:pStyle w:val="ListBullet"/>
        <w:spacing w:after="60"/>
      </w:pPr>
      <w:r>
        <w:t>maintain effective, transparent internal communication;</w:t>
      </w:r>
    </w:p>
    <w:p>
      <w:pPr>
        <w:pStyle w:val="ListBullet"/>
        <w:spacing w:after="60"/>
      </w:pPr>
      <w:r>
        <w:t>follow protocols for external communication and consistent branding; and</w:t>
      </w:r>
    </w:p>
    <w:p>
      <w:pPr>
        <w:pStyle w:val="ListBullet"/>
        <w:spacing w:after="60"/>
      </w:pPr>
      <w:r>
        <w:t>direct media enquiries to the Executive Director or designated spokesperson for consistent messaging.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10. Review and Continuous Improvement</w:t>
      </w:r>
    </w:p>
    <w:p>
      <w:pPr>
        <w:pStyle w:val="ListBullet"/>
        <w:spacing w:after="60"/>
      </w:pPr>
      <w:r>
        <w:t>review policies and procedures annually;</w:t>
      </w:r>
    </w:p>
    <w:p>
      <w:pPr>
        <w:pStyle w:val="ListBullet"/>
        <w:spacing w:after="60"/>
      </w:pPr>
      <w:r>
        <w:t>seek feedback from beneficiaries, donors and stakeholders; and</w:t>
      </w:r>
    </w:p>
    <w:p>
      <w:pPr>
        <w:pStyle w:val="ListBullet"/>
        <w:spacing w:after="60"/>
      </w:pPr>
      <w:r>
        <w:t>commit to ongoing improvement of operations and services.</w:t>
      </w:r>
    </w:p>
    <w:p>
      <w:r>
        <w:rPr>
          <w:rFonts w:ascii="Calibri" w:hAnsi="Calibri"/>
          <w:i/>
          <w:color w:val="595959"/>
          <w:sz w:val="20"/>
        </w:rPr>
        <w:t>Appendices: glossary of terms; standard forms and templates; key contacts; and an approval and revision history.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Directors Handbook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