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864"/>
          <w:sz w:val="40"/>
        </w:rPr>
        <w:t>GOVERNANCE (BOARD AND COMMITTEE) CHARTER</w:t>
      </w:r>
    </w:p>
    <w:p>
      <w:pPr>
        <w:jc w:val="center"/>
        <w:pBdr>
          <w:bottom w:val="single" w:sz="6" w:space="1" w:color="1F3864"/>
        </w:pBdr>
      </w:pPr>
      <w:r>
        <w:rPr>
          <w:rFonts w:ascii="Calibri" w:hAnsi="Calibri"/>
          <w:i/>
          <w:color w:val="595959"/>
          <w:sz w:val="24"/>
        </w:rPr>
        <w:t>[Organisation Name]</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6480"/>
      </w:tblGrid>
      <w:tr>
        <w:tc>
          <w:tcPr>
            <w:tcW w:type="dxa" w:w="2880"/>
            <w:shd w:val="clear" w:color="auto" w:fill="E8ECF4"/>
          </w:tcPr>
          <w:p>
            <w:r>
              <w:rPr>
                <w:rFonts w:ascii="Calibri" w:hAnsi="Calibri"/>
                <w:b/>
                <w:color w:val="1F3864"/>
                <w:sz w:val="20"/>
              </w:rPr>
              <w:t>Policy Title</w:t>
            </w:r>
          </w:p>
        </w:tc>
        <w:tc>
          <w:tcPr>
            <w:tcW w:type="dxa" w:w="6480"/>
          </w:tcPr>
          <w:p>
            <w:r>
              <w:rPr>
                <w:rFonts w:ascii="Calibri" w:hAnsi="Calibri"/>
                <w:sz w:val="20"/>
              </w:rPr>
              <w:t>Governance (Board and Committee) Charter</w:t>
            </w:r>
          </w:p>
        </w:tc>
      </w:tr>
      <w:tr>
        <w:tc>
          <w:tcPr>
            <w:tcW w:type="dxa" w:w="2880"/>
            <w:shd w:val="clear" w:color="auto" w:fill="E8ECF4"/>
          </w:tcPr>
          <w:p>
            <w:r>
              <w:rPr>
                <w:rFonts w:ascii="Calibri" w:hAnsi="Calibri"/>
                <w:b/>
                <w:color w:val="1F3864"/>
                <w:sz w:val="20"/>
              </w:rPr>
              <w:t>Organisation</w:t>
            </w:r>
          </w:p>
        </w:tc>
        <w:tc>
          <w:tcPr>
            <w:tcW w:type="dxa" w:w="6480"/>
          </w:tcPr>
          <w:p>
            <w:r>
              <w:rPr>
                <w:rFonts w:ascii="Calibri" w:hAnsi="Calibri"/>
                <w:sz w:val="20"/>
              </w:rPr>
              <w:t>[Organisation Name]</w:t>
            </w:r>
          </w:p>
        </w:tc>
      </w:tr>
      <w:tr>
        <w:tc>
          <w:tcPr>
            <w:tcW w:type="dxa" w:w="2880"/>
            <w:shd w:val="clear" w:color="auto" w:fill="E8ECF4"/>
          </w:tcPr>
          <w:p>
            <w:r>
              <w:rPr>
                <w:rFonts w:ascii="Calibri" w:hAnsi="Calibri"/>
                <w:b/>
                <w:color w:val="1F3864"/>
                <w:sz w:val="20"/>
              </w:rPr>
              <w:t>Policy Owner</w:t>
            </w:r>
          </w:p>
        </w:tc>
        <w:tc>
          <w:tcPr>
            <w:tcW w:type="dxa" w:w="6480"/>
          </w:tcPr>
          <w:p>
            <w:r>
              <w:rPr>
                <w:rFonts w:ascii="Calibri" w:hAnsi="Calibri"/>
                <w:sz w:val="20"/>
              </w:rPr>
              <w:t>[Position Title]</w:t>
            </w:r>
          </w:p>
        </w:tc>
      </w:tr>
      <w:tr>
        <w:tc>
          <w:tcPr>
            <w:tcW w:type="dxa" w:w="2880"/>
            <w:shd w:val="clear" w:color="auto" w:fill="E8ECF4"/>
          </w:tcPr>
          <w:p>
            <w:r>
              <w:rPr>
                <w:rFonts w:ascii="Calibri" w:hAnsi="Calibri"/>
                <w:b/>
                <w:color w:val="1F3864"/>
                <w:sz w:val="20"/>
              </w:rPr>
              <w:t>Approved By</w:t>
            </w:r>
          </w:p>
        </w:tc>
        <w:tc>
          <w:tcPr>
            <w:tcW w:type="dxa" w:w="6480"/>
          </w:tcPr>
          <w:p>
            <w:r>
              <w:rPr>
                <w:rFonts w:ascii="Calibri" w:hAnsi="Calibri"/>
                <w:sz w:val="20"/>
              </w:rPr>
              <w:t>[Board of Directors / Position Title]</w:t>
            </w:r>
          </w:p>
        </w:tc>
      </w:tr>
      <w:tr>
        <w:tc>
          <w:tcPr>
            <w:tcW w:type="dxa" w:w="2880"/>
            <w:shd w:val="clear" w:color="auto" w:fill="E8ECF4"/>
          </w:tcPr>
          <w:p>
            <w:r>
              <w:rPr>
                <w:rFonts w:ascii="Calibri" w:hAnsi="Calibri"/>
                <w:b/>
                <w:color w:val="1F3864"/>
                <w:sz w:val="20"/>
              </w:rPr>
              <w:t>Version</w:t>
            </w:r>
          </w:p>
        </w:tc>
        <w:tc>
          <w:tcPr>
            <w:tcW w:type="dxa" w:w="6480"/>
          </w:tcPr>
          <w:p>
            <w:r>
              <w:rPr>
                <w:rFonts w:ascii="Calibri" w:hAnsi="Calibri"/>
                <w:sz w:val="20"/>
              </w:rPr>
              <w:t>[1.0]</w:t>
            </w:r>
          </w:p>
        </w:tc>
      </w:tr>
      <w:tr>
        <w:tc>
          <w:tcPr>
            <w:tcW w:type="dxa" w:w="2880"/>
            <w:shd w:val="clear" w:color="auto" w:fill="E8ECF4"/>
          </w:tcPr>
          <w:p>
            <w:r>
              <w:rPr>
                <w:rFonts w:ascii="Calibri" w:hAnsi="Calibri"/>
                <w:b/>
                <w:color w:val="1F3864"/>
                <w:sz w:val="20"/>
              </w:rPr>
              <w:t>Effective Date</w:t>
            </w:r>
          </w:p>
        </w:tc>
        <w:tc>
          <w:tcPr>
            <w:tcW w:type="dxa" w:w="6480"/>
          </w:tcPr>
          <w:p>
            <w:r>
              <w:rPr>
                <w:rFonts w:ascii="Calibri" w:hAnsi="Calibri"/>
                <w:sz w:val="20"/>
              </w:rPr>
              <w:t>[Date]</w:t>
            </w:r>
          </w:p>
        </w:tc>
      </w:tr>
      <w:tr>
        <w:tc>
          <w:tcPr>
            <w:tcW w:type="dxa" w:w="2880"/>
            <w:shd w:val="clear" w:color="auto" w:fill="E8ECF4"/>
          </w:tcPr>
          <w:p>
            <w:r>
              <w:rPr>
                <w:rFonts w:ascii="Calibri" w:hAnsi="Calibri"/>
                <w:b/>
                <w:color w:val="1F3864"/>
                <w:sz w:val="20"/>
              </w:rPr>
              <w:t>Next Review Date</w:t>
            </w:r>
          </w:p>
        </w:tc>
        <w:tc>
          <w:tcPr>
            <w:tcW w:type="dxa" w:w="6480"/>
          </w:tcPr>
          <w:p>
            <w:r>
              <w:rPr>
                <w:rFonts w:ascii="Calibri" w:hAnsi="Calibri"/>
                <w:sz w:val="20"/>
              </w:rPr>
              <w:t>[Date — annual review recommended]</w:t>
            </w:r>
          </w:p>
        </w:tc>
      </w:tr>
    </w:tbl>
    <w:p/>
    <w:p>
      <w:pPr>
        <w:keepNext/>
        <w:spacing w:before="200" w:after="80"/>
      </w:pPr>
      <w:r>
        <w:rPr>
          <w:rFonts w:ascii="Calibri" w:hAnsi="Calibri"/>
          <w:b/>
          <w:color w:val="1F3864"/>
          <w:sz w:val="26"/>
        </w:rPr>
        <w:t>1. Purpose</w:t>
      </w:r>
    </w:p>
    <w:p>
      <w:pPr>
        <w:jc w:val="both"/>
      </w:pPr>
      <w:r>
        <w:t>This Governance Charter establishes clear roles, responsibilities and procedures for the Board of Directors or Management Committee of [Organisation Name], supporting effective governance, accountability and alignment with ACNC governance standards.</w:t>
      </w:r>
    </w:p>
    <w:p>
      <w:pPr>
        <w:keepNext/>
        <w:spacing w:before="200" w:after="80"/>
      </w:pPr>
      <w:r>
        <w:rPr>
          <w:rFonts w:ascii="Calibri" w:hAnsi="Calibri"/>
          <w:b/>
          <w:color w:val="1F3864"/>
          <w:sz w:val="26"/>
        </w:rPr>
        <w:t>2. Scope</w:t>
      </w:r>
    </w:p>
    <w:p>
      <w:pPr>
        <w:jc w:val="both"/>
      </w:pPr>
      <w:r>
        <w:t>This Charter applies to all members of the Board or Management Committee, executive staff and any relevant subcommittees, and sets out the principles and rules governing board activity and decision-making.</w:t>
      </w:r>
    </w:p>
    <w:p>
      <w:pPr>
        <w:keepNext/>
        <w:spacing w:before="200" w:after="80"/>
      </w:pPr>
      <w:r>
        <w:rPr>
          <w:rFonts w:ascii="Calibri" w:hAnsi="Calibri"/>
          <w:b/>
          <w:color w:val="1F3864"/>
          <w:sz w:val="26"/>
        </w:rPr>
        <w:t>3. Statement</w:t>
      </w:r>
    </w:p>
    <w:p>
      <w:pPr>
        <w:jc w:val="both"/>
      </w:pPr>
      <w:r>
        <w:t>The Board is central to ensuring the organisation fulfils its mission, meets its legal obligations and remains accountable to its stakeholders — beneficiaries, donors, regulators and the public. The Board acts in good faith, with due care and diligence, and to the highest ethical standards.</w:t>
      </w:r>
    </w:p>
    <w:p>
      <w:pPr>
        <w:keepNext/>
        <w:spacing w:before="200" w:after="80"/>
      </w:pPr>
      <w:r>
        <w:rPr>
          <w:rFonts w:ascii="Calibri" w:hAnsi="Calibri"/>
          <w:b/>
          <w:color w:val="1F3864"/>
          <w:sz w:val="26"/>
        </w:rPr>
        <w:t>4. Key Responsibilities</w:t>
      </w:r>
    </w:p>
    <w:p>
      <w:pPr>
        <w:pStyle w:val="ListBullet"/>
        <w:spacing w:after="60"/>
      </w:pPr>
      <w:r>
        <w:t>Governance and oversight — of strategy, operations, financial health, risk and regulatory compliance, including ACNC requirements;</w:t>
      </w:r>
    </w:p>
    <w:p>
      <w:pPr>
        <w:pStyle w:val="ListBullet"/>
        <w:spacing w:after="60"/>
      </w:pPr>
      <w:r>
        <w:t>Legal compliance — with the ACNC Act, the Corporations Act (where applicable) and other relevant law;</w:t>
      </w:r>
    </w:p>
    <w:p>
      <w:pPr>
        <w:pStyle w:val="ListBullet"/>
        <w:spacing w:after="60"/>
      </w:pPr>
      <w:r>
        <w:t>Strategic planning — setting direction aligned with mission and objectives;</w:t>
      </w:r>
    </w:p>
    <w:p>
      <w:pPr>
        <w:pStyle w:val="ListBullet"/>
        <w:spacing w:after="60"/>
      </w:pPr>
      <w:r>
        <w:t>Risk management — identifying and mitigating risks to operations, finances and reputation;</w:t>
      </w:r>
    </w:p>
    <w:p>
      <w:pPr>
        <w:pStyle w:val="ListBullet"/>
        <w:spacing w:after="60"/>
      </w:pPr>
      <w:r>
        <w:t>Financial accountability — approving budgets, financial statements and annual reports;</w:t>
      </w:r>
    </w:p>
    <w:p>
      <w:pPr>
        <w:pStyle w:val="ListBullet"/>
        <w:spacing w:after="60"/>
      </w:pPr>
      <w:r>
        <w:t>CEO oversight — appointing and evaluating the CEO/Executive Director;</w:t>
      </w:r>
    </w:p>
    <w:p>
      <w:pPr>
        <w:pStyle w:val="ListBullet"/>
        <w:spacing w:after="60"/>
      </w:pPr>
      <w:r>
        <w:t>Board development — ensuring members have appropriate skills and training; and</w:t>
      </w:r>
    </w:p>
    <w:p>
      <w:pPr>
        <w:pStyle w:val="ListBullet"/>
        <w:spacing w:after="60"/>
      </w:pPr>
      <w:r>
        <w:t>Stakeholder engagement — maintaining transparent communication with members, donors and regulators.</w:t>
      </w:r>
    </w:p>
    <w:p>
      <w:pPr>
        <w:keepNext/>
        <w:spacing w:before="200" w:after="80"/>
      </w:pPr>
      <w:r>
        <w:rPr>
          <w:rFonts w:ascii="Calibri" w:hAnsi="Calibri"/>
          <w:b/>
          <w:color w:val="1F3864"/>
          <w:sz w:val="26"/>
        </w:rPr>
        <w:t>5. Structure and Composition</w:t>
      </w:r>
    </w:p>
    <w:p>
      <w:pPr>
        <w:pStyle w:val="ListBullet"/>
        <w:spacing w:after="60"/>
      </w:pPr>
      <w:r>
        <w:t>the Board comprises [number] members with a mix of relevant skills, including at least one independent member;</w:t>
      </w:r>
    </w:p>
    <w:p>
      <w:pPr>
        <w:pStyle w:val="ListBullet"/>
        <w:spacing w:after="60"/>
      </w:pPr>
      <w:r>
        <w:t>members serve a term of [term], renewable for up to [number] consecutive terms;</w:t>
      </w:r>
    </w:p>
    <w:p>
      <w:pPr>
        <w:pStyle w:val="ListBullet"/>
        <w:spacing w:after="60"/>
      </w:pPr>
      <w:r>
        <w:t>directors are appointed or elected under the constitution and ACNC governance standards;</w:t>
      </w:r>
    </w:p>
    <w:p>
      <w:pPr>
        <w:pStyle w:val="ListBullet"/>
        <w:spacing w:after="60"/>
      </w:pPr>
      <w:r>
        <w:t>the Chairperson leads the Board, ensures productive meetings and informed decisions, and fosters strong relationships; and</w:t>
      </w:r>
    </w:p>
    <w:p>
      <w:pPr>
        <w:pStyle w:val="ListBullet"/>
        <w:spacing w:after="60"/>
      </w:pPr>
      <w:r>
        <w:t>the Secretary documents minutes, maintains records and ensures regulatory filings (including ACNC reporting) are met.</w:t>
      </w:r>
    </w:p>
    <w:p>
      <w:pPr>
        <w:keepNext/>
        <w:spacing w:before="200" w:after="80"/>
      </w:pPr>
      <w:r>
        <w:rPr>
          <w:rFonts w:ascii="Calibri" w:hAnsi="Calibri"/>
          <w:b/>
          <w:color w:val="1F3864"/>
          <w:sz w:val="26"/>
        </w:rPr>
        <w:t>6. Meetings</w:t>
      </w:r>
    </w:p>
    <w:p>
      <w:pPr>
        <w:pStyle w:val="ListBullet"/>
        <w:spacing w:after="60"/>
      </w:pPr>
      <w:r>
        <w:t>the Board meets at least [number] times per year, with special meetings as required;</w:t>
      </w:r>
    </w:p>
    <w:p>
      <w:pPr>
        <w:pStyle w:val="ListBullet"/>
        <w:spacing w:after="60"/>
      </w:pPr>
      <w:r>
        <w:t>members receive at least [number] days' notice with agenda and supporting documents;</w:t>
      </w:r>
    </w:p>
    <w:p>
      <w:pPr>
        <w:pStyle w:val="ListBullet"/>
        <w:spacing w:after="60"/>
      </w:pPr>
      <w:r>
        <w:t>a quorum is [number/percentage] of members, and no decision is made without one; and</w:t>
      </w:r>
    </w:p>
    <w:p>
      <w:pPr>
        <w:pStyle w:val="ListBullet"/>
        <w:spacing w:after="60"/>
      </w:pPr>
      <w:r>
        <w:t>the Secretary prepares and distributes minutes, which are approved at the next meeting.</w:t>
      </w:r>
    </w:p>
    <w:p>
      <w:pPr>
        <w:keepNext/>
        <w:spacing w:before="200" w:after="80"/>
      </w:pPr>
      <w:r>
        <w:rPr>
          <w:rFonts w:ascii="Calibri" w:hAnsi="Calibri"/>
          <w:b/>
          <w:color w:val="1F3864"/>
          <w:sz w:val="26"/>
        </w:rPr>
        <w:t>7. Decision-Making</w:t>
      </w:r>
    </w:p>
    <w:p>
      <w:pPr>
        <w:pStyle w:val="ListBullet"/>
        <w:spacing w:after="60"/>
      </w:pPr>
      <w:r>
        <w:t>decisions are reached by consensus where possible, and otherwise by majority vote of members present;</w:t>
      </w:r>
    </w:p>
    <w:p>
      <w:pPr>
        <w:pStyle w:val="ListBullet"/>
        <w:spacing w:after="60"/>
      </w:pPr>
      <w:r>
        <w:t>conflicts of interest are disclosed at the start of meetings, with conflicted members recusing themselves in line with the Conflict of Interest Policy; and</w:t>
      </w:r>
    </w:p>
    <w:p>
      <w:pPr>
        <w:pStyle w:val="ListBullet"/>
        <w:spacing w:after="60"/>
      </w:pPr>
      <w:r>
        <w:t>the Board may delegate authority to subcommittees or the CEO while retaining ultimate responsibility.</w:t>
      </w:r>
    </w:p>
    <w:p>
      <w:pPr>
        <w:keepNext/>
        <w:spacing w:before="200" w:after="80"/>
      </w:pPr>
      <w:r>
        <w:rPr>
          <w:rFonts w:ascii="Calibri" w:hAnsi="Calibri"/>
          <w:b/>
          <w:color w:val="1F3864"/>
          <w:sz w:val="26"/>
        </w:rPr>
        <w:t>8. Code of Conduct</w:t>
      </w:r>
    </w:p>
    <w:p>
      <w:pPr>
        <w:jc w:val="both"/>
      </w:pPr>
      <w:r>
        <w:t>All Board members comply with the organisation's Code of Conduct, covering ethical behaviour, confidentiality, mutual respect and integrity in governance.</w:t>
      </w:r>
    </w:p>
    <w:p>
      <w:pPr>
        <w:keepNext/>
        <w:spacing w:before="200" w:after="80"/>
      </w:pPr>
      <w:r>
        <w:rPr>
          <w:rFonts w:ascii="Calibri" w:hAnsi="Calibri"/>
          <w:b/>
          <w:color w:val="1F3864"/>
          <w:sz w:val="26"/>
        </w:rPr>
        <w:t>9. Risk Management and Compliance</w:t>
      </w:r>
    </w:p>
    <w:p>
      <w:pPr>
        <w:jc w:val="both"/>
      </w:pPr>
      <w:r>
        <w:t>The Board maintains an active risk management framework, identifying key risks and mitigation strategies. Internal and external audits are conducted regularly to test the effectiveness of risk management and compliance.</w:t>
      </w:r>
    </w:p>
    <w:p>
      <w:pPr>
        <w:keepNext/>
        <w:spacing w:before="200" w:after="80"/>
      </w:pPr>
      <w:r>
        <w:rPr>
          <w:rFonts w:ascii="Calibri" w:hAnsi="Calibri"/>
          <w:b/>
          <w:color w:val="1F3864"/>
          <w:sz w:val="26"/>
        </w:rPr>
        <w:t>10. Training and Development</w:t>
      </w:r>
    </w:p>
    <w:p>
      <w:pPr>
        <w:pStyle w:val="ListBullet"/>
        <w:spacing w:after="60"/>
      </w:pPr>
      <w:r>
        <w:t>new members receive an orientation covering their role, the mission and key governance documents (constitution and ACNC standards); and</w:t>
      </w:r>
    </w:p>
    <w:p>
      <w:pPr>
        <w:pStyle w:val="ListBullet"/>
        <w:spacing w:after="60"/>
      </w:pPr>
      <w:r>
        <w:t>members are offered ongoing development on emerging trends, legislative change and governance good practice.</w:t>
      </w:r>
    </w:p>
    <w:p>
      <w:pPr>
        <w:keepNext/>
        <w:spacing w:before="200" w:after="80"/>
      </w:pPr>
      <w:r>
        <w:rPr>
          <w:rFonts w:ascii="Calibri" w:hAnsi="Calibri"/>
          <w:b/>
          <w:color w:val="1F3864"/>
          <w:sz w:val="26"/>
        </w:rPr>
        <w:t>11. Evaluation and Review</w:t>
      </w:r>
    </w:p>
    <w:p>
      <w:pPr>
        <w:pStyle w:val="ListBullet"/>
        <w:spacing w:after="60"/>
      </w:pPr>
      <w:r>
        <w:t>the Board completes an annual self-assessment of its performance, skills matrix and decision-making; and</w:t>
      </w:r>
    </w:p>
    <w:p>
      <w:pPr>
        <w:pStyle w:val="ListBullet"/>
        <w:spacing w:after="60"/>
      </w:pPr>
      <w:r>
        <w:t>this Charter is reviewed every two years, or sooner if required, with amendments approved by majority vote of the Board.</w:t>
      </w:r>
    </w:p>
    <w:p>
      <w:pPr>
        <w:keepNext/>
        <w:spacing w:before="200" w:after="80"/>
      </w:pPr>
      <w:r>
        <w:rPr>
          <w:rFonts w:ascii="Calibri" w:hAnsi="Calibri"/>
          <w:b/>
          <w:color w:val="1F3864"/>
          <w:sz w:val="26"/>
        </w:rPr>
        <w:t>12. Reporting and Accountability</w:t>
      </w:r>
    </w:p>
    <w:p>
      <w:pPr>
        <w:jc w:val="both"/>
      </w:pPr>
      <w:r>
        <w:t>The Board keeps accurate records of its decisions, reflected in regular stakeholder reporting and the ACNC's annual reporting obligations. Financial reports and annual reviews are prepared and made publicly available to support transparency.</w:t>
      </w:r>
    </w:p>
    <w:p>
      <w:r>
        <w:rPr>
          <w:rFonts w:ascii="Calibri" w:hAnsi="Calibri"/>
          <w:i/>
          <w:color w:val="595959"/>
          <w:sz w:val="20"/>
        </w:rPr>
        <w:t>Approved by the Board on [Date]. Next review date: [Date].</w:t>
      </w:r>
    </w:p>
    <w:p/>
    <w:p>
      <w:pPr>
        <w:keepNext/>
        <w:spacing w:before="200" w:after="80"/>
      </w:pPr>
      <w:r>
        <w:rPr>
          <w:rFonts w:ascii="Calibri" w:hAnsi="Calibri"/>
          <w:b/>
          <w:color w:val="1F3864"/>
          <w:sz w:val="26"/>
        </w:rPr>
        <w:t>Approval &amp; Acknowledgement</w:t>
      </w:r>
    </w:p>
    <w:p>
      <w:pPr>
        <w:jc w:val="both"/>
      </w:pPr>
      <w:r>
        <w:t>This policy has been approved by the [Board of Directors / approving body] of [Organisation Name]. By signing below, the approving officer confirms the policy has been adopted and that staff and volunteers are required to comply with it.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Role</w:t>
            </w:r>
          </w:p>
        </w:tc>
        <w:tc>
          <w:tcPr>
            <w:tcW w:type="dxa" w:w="2340"/>
            <w:shd w:val="clear" w:color="auto" w:fill="1F3864"/>
          </w:tcPr>
          <w:p>
            <w:r>
              <w:rPr>
                <w:rFonts w:ascii="Calibri" w:hAnsi="Calibri"/>
                <w:b/>
                <w:color w:val="FFFFFF"/>
                <w:sz w:val="20"/>
              </w:rPr>
              <w:t>Name</w:t>
            </w:r>
          </w:p>
        </w:tc>
        <w:tc>
          <w:tcPr>
            <w:tcW w:type="dxa" w:w="2340"/>
            <w:shd w:val="clear" w:color="auto" w:fill="1F3864"/>
          </w:tcPr>
          <w:p>
            <w:r>
              <w:rPr>
                <w:rFonts w:ascii="Calibri" w:hAnsi="Calibri"/>
                <w:b/>
                <w:color w:val="FFFFFF"/>
                <w:sz w:val="20"/>
              </w:rPr>
              <w:t>Signature</w:t>
            </w:r>
          </w:p>
        </w:tc>
        <w:tc>
          <w:tcPr>
            <w:tcW w:type="dxa" w:w="2340"/>
            <w:shd w:val="clear" w:color="auto" w:fill="1F3864"/>
          </w:tcPr>
          <w:p>
            <w:r>
              <w:rPr>
                <w:rFonts w:ascii="Calibri" w:hAnsi="Calibri"/>
                <w:b/>
                <w:color w:val="FFFFFF"/>
                <w:sz w:val="20"/>
              </w:rPr>
              <w:t>Date</w:t>
            </w:r>
          </w:p>
        </w:tc>
      </w:tr>
      <w:tr>
        <w:tc>
          <w:tcPr>
            <w:tcW w:type="dxa" w:w="2340"/>
          </w:tcPr>
          <w:p>
            <w:r>
              <w:rPr>
                <w:rFonts w:ascii="Calibri" w:hAnsi="Calibri"/>
                <w:sz w:val="20"/>
              </w:rPr>
              <w:t>Approved by (Director / Chair)</w:t>
            </w:r>
          </w:p>
        </w:tc>
        <w:tc>
          <w:tcPr>
            <w:tcW w:type="dxa" w:w="2340"/>
          </w:tcPr>
          <w:p>
            <w:r>
              <w:rPr>
                <w:rFonts w:ascii="Calibri" w:hAnsi="Calibri"/>
                <w:sz w:val="20"/>
              </w:rPr>
            </w:r>
          </w:p>
        </w:tc>
        <w:tc>
          <w:tcPr>
            <w:tcW w:type="dxa" w:w="2340"/>
          </w:tcPr>
          <w:p>
            <w:r>
              <w:rPr>
                <w:rFonts w:ascii="Calibri" w:hAnsi="Calibri"/>
                <w:sz w:val="20"/>
              </w:rPr>
            </w:r>
          </w:p>
        </w:tc>
        <w:tc>
          <w:tcPr>
            <w:tcW w:type="dxa" w:w="2340"/>
          </w:tcPr>
          <w:p>
            <w:r>
              <w:rPr>
                <w:rFonts w:ascii="Calibri" w:hAnsi="Calibri"/>
                <w:sz w:val="20"/>
              </w:rPr>
            </w:r>
          </w:p>
        </w:tc>
      </w:tr>
      <w:tr>
        <w:tc>
          <w:tcPr>
            <w:tcW w:type="dxa" w:w="2340"/>
            <w:shd w:val="clear" w:color="auto" w:fill="F2F4F9"/>
          </w:tcPr>
          <w:p>
            <w:r>
              <w:rPr>
                <w:rFonts w:ascii="Calibri" w:hAnsi="Calibri"/>
                <w:sz w:val="20"/>
              </w:rPr>
              <w:t>Policy Owner</w:t>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r>
    </w:tbl>
    <w:p/>
    <w:p>
      <w:pPr>
        <w:keepNext/>
        <w:spacing w:before="200" w:after="80"/>
      </w:pPr>
      <w:r>
        <w:rPr>
          <w:rFonts w:ascii="Calibri" w:hAnsi="Calibri"/>
          <w:b/>
          <w:color w:val="1F3864"/>
          <w:sz w:val="26"/>
        </w:rPr>
        <w:t>Version History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Version</w:t>
            </w:r>
          </w:p>
        </w:tc>
        <w:tc>
          <w:tcPr>
            <w:tcW w:type="dxa" w:w="2340"/>
            <w:shd w:val="clear" w:color="auto" w:fill="1F3864"/>
          </w:tcPr>
          <w:p>
            <w:r>
              <w:rPr>
                <w:rFonts w:ascii="Calibri" w:hAnsi="Calibri"/>
                <w:b/>
                <w:color w:val="FFFFFF"/>
                <w:sz w:val="20"/>
              </w:rPr>
              <w:t>Date</w:t>
            </w:r>
          </w:p>
        </w:tc>
        <w:tc>
          <w:tcPr>
            <w:tcW w:type="dxa" w:w="2340"/>
            <w:shd w:val="clear" w:color="auto" w:fill="1F3864"/>
          </w:tcPr>
          <w:p>
            <w:r>
              <w:rPr>
                <w:rFonts w:ascii="Calibri" w:hAnsi="Calibri"/>
                <w:b/>
                <w:color w:val="FFFFFF"/>
                <w:sz w:val="20"/>
              </w:rPr>
              <w:t>Author / Reviser</w:t>
            </w:r>
          </w:p>
        </w:tc>
        <w:tc>
          <w:tcPr>
            <w:tcW w:type="dxa" w:w="2340"/>
            <w:shd w:val="clear" w:color="auto" w:fill="1F3864"/>
          </w:tcPr>
          <w:p>
            <w:r>
              <w:rPr>
                <w:rFonts w:ascii="Calibri" w:hAnsi="Calibri"/>
                <w:b/>
                <w:color w:val="FFFFFF"/>
                <w:sz w:val="20"/>
              </w:rPr>
              <w:t>Summary of Changes</w:t>
            </w:r>
          </w:p>
        </w:tc>
      </w:tr>
      <w:tr>
        <w:tc>
          <w:tcPr>
            <w:tcW w:type="dxa" w:w="1296"/>
          </w:tcPr>
          <w:p>
            <w:r>
              <w:rPr>
                <w:rFonts w:ascii="Calibri" w:hAnsi="Calibri"/>
                <w:sz w:val="20"/>
              </w:rPr>
              <w:t>1.0</w:t>
            </w:r>
          </w:p>
        </w:tc>
        <w:tc>
          <w:tcPr>
            <w:tcW w:type="dxa" w:w="1584"/>
          </w:tcPr>
          <w:p>
            <w:r>
              <w:rPr>
                <w:rFonts w:ascii="Calibri" w:hAnsi="Calibri"/>
                <w:sz w:val="20"/>
              </w:rPr>
              <w:t>[Date]</w:t>
            </w:r>
          </w:p>
        </w:tc>
        <w:tc>
          <w:tcPr>
            <w:tcW w:type="dxa" w:w="2880"/>
          </w:tcPr>
          <w:p>
            <w:r>
              <w:rPr>
                <w:rFonts w:ascii="Calibri" w:hAnsi="Calibri"/>
                <w:sz w:val="20"/>
              </w:rPr>
              <w:t>[Name]</w:t>
            </w:r>
          </w:p>
        </w:tc>
        <w:tc>
          <w:tcPr>
            <w:tcW w:type="dxa" w:w="3600"/>
          </w:tcPr>
          <w:p>
            <w:r>
              <w:rPr>
                <w:rFonts w:ascii="Calibri" w:hAnsi="Calibri"/>
                <w:sz w:val="20"/>
              </w:rPr>
              <w:t>Initial adoption of policy.</w:t>
            </w:r>
          </w:p>
        </w:tc>
      </w:tr>
      <w:tr>
        <w:tc>
          <w:tcPr>
            <w:tcW w:type="dxa" w:w="1296"/>
          </w:tcPr>
          <w:p>
            <w:r>
              <w:rPr>
                <w:rFonts w:ascii="Calibri" w:hAnsi="Calibri"/>
                <w:sz w:val="20"/>
              </w:rPr>
            </w:r>
          </w:p>
        </w:tc>
        <w:tc>
          <w:tcPr>
            <w:tcW w:type="dxa" w:w="1584"/>
          </w:tcPr>
          <w:p>
            <w:r>
              <w:rPr>
                <w:rFonts w:ascii="Calibri" w:hAnsi="Calibri"/>
                <w:sz w:val="20"/>
              </w:rPr>
            </w:r>
          </w:p>
        </w:tc>
        <w:tc>
          <w:tcPr>
            <w:tcW w:type="dxa" w:w="2880"/>
          </w:tcPr>
          <w:p>
            <w:r>
              <w:rPr>
                <w:rFonts w:ascii="Calibri" w:hAnsi="Calibri"/>
                <w:sz w:val="20"/>
              </w:rPr>
            </w:r>
          </w:p>
        </w:tc>
        <w:tc>
          <w:tcPr>
            <w:tcW w:type="dxa" w:w="3600"/>
          </w:tcPr>
          <w:p>
            <w:r>
              <w:rPr>
                <w:rFonts w:ascii="Calibri" w:hAnsi="Calibri"/>
                <w:sz w:val="20"/>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Governance (Board and Committee) Charter  |  [Organisation Name]  |  Template — customise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