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GRIEVANCE AND DISPUTE RESOLUTION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Grievance and Dispute Resolution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provides a clear and fair process for resolving grievances and disputes within [Organisation Name], ensuring concerns are dealt with promptly, confidentially and impartially so that a positive and productive environment is maintained.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contractors and other representatives of [Organisation Name]. It covers any work-related grievance or dispute, including matters relating to working conditions, workplace relationships and compliance with organisational policies.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What is a Grievance</w:t>
      </w:r>
    </w:p>
    <w:p>
      <w:pPr>
        <w:jc w:val="both"/>
      </w:pPr>
      <w:r>
        <w:t>A grievance is a formal concern raised by an employee, volunteer or contractor about an aspect of their work — for example, perceived unfair treatment, a workplace conflict, or a breach of organisational policy or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Principles</w:t>
      </w:r>
    </w:p>
    <w:p>
      <w:pPr>
        <w:jc w:val="both"/>
      </w:pPr>
      <w:r>
        <w:t>[Organisation Name] is committed to:</w:t>
      </w:r>
    </w:p>
    <w:p>
      <w:pPr>
        <w:pStyle w:val="ListBullet"/>
        <w:spacing w:after="60"/>
      </w:pPr>
      <w:r>
        <w:t>handling all grievances fairly, consistently and promptly;</w:t>
      </w:r>
    </w:p>
    <w:p>
      <w:pPr>
        <w:pStyle w:val="ListBullet"/>
        <w:spacing w:after="60"/>
      </w:pPr>
      <w:r>
        <w:t>providing a safe and confidential environment in which to raise concerns;</w:t>
      </w:r>
    </w:p>
    <w:p>
      <w:pPr>
        <w:pStyle w:val="ListBullet"/>
        <w:spacing w:after="60"/>
      </w:pPr>
      <w:r>
        <w:t>ensuring no person is victimised or disadvantaged for raising a grievance in good faith; and</w:t>
      </w:r>
    </w:p>
    <w:p>
      <w:pPr>
        <w:pStyle w:val="ListBullet"/>
        <w:spacing w:after="60"/>
      </w:pPr>
      <w:r>
        <w:t>resolving grievances at the earliest and most local level possible.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Grievance Procedure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5.1 Informal resolution</w:t>
      </w:r>
    </w:p>
    <w:p>
      <w:pPr>
        <w:pStyle w:val="ListBullet"/>
        <w:spacing w:after="60"/>
      </w:pPr>
      <w:r>
        <w:t>Step 1 — the individual first attempts to resolve the matter informally by raising it directly with the person(s) involved; and</w:t>
      </w:r>
    </w:p>
    <w:p>
      <w:pPr>
        <w:pStyle w:val="ListBullet"/>
        <w:spacing w:after="60"/>
      </w:pPr>
      <w:r>
        <w:t>Step 2 — if that is unsuccessful, the matter is raised with their immediate supervisor or manager.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5.2 Formal grievance</w:t>
      </w:r>
    </w:p>
    <w:p>
      <w:pPr>
        <w:pStyle w:val="ListBullet"/>
        <w:spacing w:after="60"/>
      </w:pPr>
      <w:r>
        <w:t>Step 3 — if still unresolved, the individual lodges a written grievance setting out the issue, relevant details and the outcome sought; and</w:t>
      </w:r>
    </w:p>
    <w:p>
      <w:pPr>
        <w:pStyle w:val="ListBullet"/>
        <w:spacing w:after="60"/>
      </w:pPr>
      <w:r>
        <w:t>Step 4 — the grievance is acknowledged in writing within [timeframe] and referred to the designated [Grievance Officer] for investigation.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Investigation</w:t>
      </w:r>
    </w:p>
    <w:p>
      <w:pPr>
        <w:pStyle w:val="ListBullet"/>
        <w:spacing w:after="60"/>
      </w:pPr>
      <w:r>
        <w:t>The Grievance Officer conducts a thorough, impartial investigation, including interviews with relevant parties and review of relevant documents;</w:t>
      </w:r>
    </w:p>
    <w:p>
      <w:pPr>
        <w:pStyle w:val="ListBullet"/>
        <w:spacing w:after="60"/>
      </w:pPr>
      <w:r>
        <w:t>The investigation is completed within [timeframe] and the findings documented; and</w:t>
      </w:r>
    </w:p>
    <w:p>
      <w:pPr>
        <w:pStyle w:val="ListBullet"/>
        <w:spacing w:after="60"/>
      </w:pPr>
      <w:r>
        <w:t>Both the person raising the grievance and any respondent are advised of the outcome in writing.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Resolution and Outcomes</w:t>
      </w:r>
    </w:p>
    <w:p>
      <w:pPr>
        <w:pStyle w:val="ListBullet"/>
        <w:spacing w:after="60"/>
      </w:pPr>
      <w:r>
        <w:t>If the grievance is upheld, appropriate corrective action follows, which may include mediation, training or disciplinary action; and</w:t>
      </w:r>
    </w:p>
    <w:p>
      <w:pPr>
        <w:pStyle w:val="ListBullet"/>
        <w:spacing w:after="60"/>
      </w:pPr>
      <w:r>
        <w:t>If it is not upheld, reasons are provided and the individual is advised of their right to appeal.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Appeals</w:t>
      </w:r>
    </w:p>
    <w:p>
      <w:pPr>
        <w:pStyle w:val="ListBullet"/>
        <w:spacing w:after="60"/>
      </w:pPr>
      <w:r>
        <w:t>An individual dissatisfied with the outcome may appeal in writing to the [Board of Directors] within [timeframe]; and</w:t>
      </w:r>
    </w:p>
    <w:p>
      <w:pPr>
        <w:pStyle w:val="ListBullet"/>
        <w:spacing w:after="60"/>
      </w:pPr>
      <w:r>
        <w:t>The appeal is reviewed by a panel independent of the original investigation, and a final decision is made within [timeframe].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Confidentiality</w:t>
      </w:r>
    </w:p>
    <w:p>
      <w:pPr>
        <w:jc w:val="both"/>
      </w:pPr>
      <w:r>
        <w:t>All grievances and disputes are handled with strict confidentiality, with information shared only with those directly involved in resolving the matter.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Record Keeping</w:t>
      </w:r>
    </w:p>
    <w:p>
      <w:pPr>
        <w:jc w:val="both"/>
      </w:pPr>
      <w:r>
        <w:t>Detailed records of all grievances, investigations and outcomes are maintained securely and confidentially.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11. Monitoring and Review</w:t>
      </w:r>
    </w:p>
    <w:p>
      <w:pPr>
        <w:jc w:val="both"/>
      </w:pPr>
      <w:r>
        <w:t>This policy is reviewed annually for effectiveness and legal compliance, drawing on feedback from staff and volunteers to improve the process.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12. Related Policies</w:t>
      </w:r>
    </w:p>
    <w:p>
      <w:pPr>
        <w:pStyle w:val="ListBullet"/>
        <w:spacing w:after="60"/>
      </w:pPr>
      <w:r>
        <w:t>Code of Conduct;</w:t>
      </w:r>
    </w:p>
    <w:p>
      <w:pPr>
        <w:pStyle w:val="ListBullet"/>
        <w:spacing w:after="60"/>
      </w:pPr>
      <w:r>
        <w:t>Equal Employment Opportunity Policy;</w:t>
      </w:r>
    </w:p>
    <w:p>
      <w:pPr>
        <w:pStyle w:val="ListBullet"/>
        <w:spacing w:after="60"/>
      </w:pPr>
      <w:r>
        <w:t>Work Health and Safety Policy; and</w:t>
      </w:r>
    </w:p>
    <w:p>
      <w:pPr>
        <w:pStyle w:val="ListBullet"/>
        <w:spacing w:after="60"/>
      </w:pPr>
      <w:r>
        <w:t>Anti-Discrimination and Harassment Policy.</w:t>
      </w:r>
    </w:p>
    <w:p>
      <w:r>
        <w:rPr>
          <w:rFonts w:ascii="Calibri" w:hAnsi="Calibri"/>
          <w:i/>
          <w:color w:val="595959"/>
          <w:sz w:val="20"/>
        </w:rPr>
        <w:t>Policy enquiries: [Designated Officer — Name and Contact Details].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Grievance and Dispute Resolution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