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KEY PERSONS AND AUTHORISED OFFICERS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Key Persons and Authorised Officers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Welcome and Overview</w:t>
      </w:r>
    </w:p>
    <w:p>
      <w:pPr>
        <w:pStyle w:val="ListBullet"/>
        <w:spacing w:after="60"/>
      </w:pPr>
      <w:r>
        <w:t>open with a welcome from the CEO or Chair; and</w:t>
      </w:r>
    </w:p>
    <w:p>
      <w:pPr>
        <w:pStyle w:val="ListBullet"/>
        <w:spacing w:after="60"/>
      </w:pPr>
      <w:r>
        <w:t>provide an overview of the organisation's mission, vision and key objectives.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Key Documents</w:t>
      </w:r>
    </w:p>
    <w:p>
      <w:pPr>
        <w:pStyle w:val="ListBullet"/>
        <w:spacing w:after="60"/>
      </w:pPr>
      <w:r>
        <w:t>review the constitution and explain its importance;</w:t>
      </w:r>
    </w:p>
    <w:p>
      <w:pPr>
        <w:pStyle w:val="ListBullet"/>
        <w:spacing w:after="60"/>
      </w:pPr>
      <w:r>
        <w:t>introduce key policies, including governance, conflict of interest and financial management; and</w:t>
      </w:r>
    </w:p>
    <w:p>
      <w:pPr>
        <w:pStyle w:val="ListBullet"/>
        <w:spacing w:after="60"/>
      </w:pPr>
      <w:r>
        <w:t>outline the code of conduct and expected ethical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Roles and Responsibilities</w:t>
      </w:r>
    </w:p>
    <w:p>
      <w:pPr>
        <w:pStyle w:val="ListBullet"/>
        <w:spacing w:after="60"/>
      </w:pPr>
      <w:r>
        <w:t>describe the roles of key positions (Chair, Treasurer, Secretary);</w:t>
      </w:r>
    </w:p>
    <w:p>
      <w:pPr>
        <w:pStyle w:val="ListBullet"/>
        <w:spacing w:after="60"/>
      </w:pPr>
      <w:r>
        <w:t>explain the duties of authorised officers, including decision-making powers and reporting; and</w:t>
      </w:r>
    </w:p>
    <w:p>
      <w:pPr>
        <w:pStyle w:val="ListBullet"/>
        <w:spacing w:after="60"/>
      </w:pPr>
      <w:r>
        <w:t>review obligations under Australian charity law, including ACNC and ASIC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Governance and Compliance Training</w:t>
      </w:r>
    </w:p>
    <w:p>
      <w:pPr>
        <w:pStyle w:val="ListBullet"/>
        <w:spacing w:after="60"/>
      </w:pPr>
      <w:r>
        <w:t>explain the governance structure and the role of the board; and</w:t>
      </w:r>
    </w:p>
    <w:p>
      <w:pPr>
        <w:pStyle w:val="ListBullet"/>
        <w:spacing w:after="60"/>
      </w:pPr>
      <w:r>
        <w:t>train on legal and regulatory compliance, including annual reporting and financial audits.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Financial Management</w:t>
      </w:r>
    </w:p>
    <w:p>
      <w:pPr>
        <w:pStyle w:val="ListBullet"/>
        <w:spacing w:after="60"/>
      </w:pPr>
      <w:r>
        <w:t>give an overview of budgeting and financial planning;</w:t>
      </w:r>
    </w:p>
    <w:p>
      <w:pPr>
        <w:pStyle w:val="ListBullet"/>
        <w:spacing w:after="60"/>
      </w:pPr>
      <w:r>
        <w:t>explain financial controls, approval processes and expense management; and</w:t>
      </w:r>
    </w:p>
    <w:p>
      <w:pPr>
        <w:pStyle w:val="ListBullet"/>
        <w:spacing w:after="60"/>
      </w:pPr>
      <w:r>
        <w:t>explain policies on fundraising and managing donations.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Operational Procedures</w:t>
      </w:r>
    </w:p>
    <w:p>
      <w:pPr>
        <w:pStyle w:val="ListBullet"/>
        <w:spacing w:after="60"/>
      </w:pPr>
      <w:r>
        <w:t>detail day-to-day operations and how key persons contribute; and</w:t>
      </w:r>
    </w:p>
    <w:p>
      <w:pPr>
        <w:pStyle w:val="ListBullet"/>
        <w:spacing w:after="60"/>
      </w:pPr>
      <w:r>
        <w:t>train on required documentation and reporting.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Health, Safety and Risk Management</w:t>
      </w:r>
    </w:p>
    <w:p>
      <w:pPr>
        <w:pStyle w:val="ListBullet"/>
        <w:spacing w:after="60"/>
      </w:pPr>
      <w:r>
        <w:t>outline relevant health and safety policies; and</w:t>
      </w:r>
    </w:p>
    <w:p>
      <w:pPr>
        <w:pStyle w:val="ListBullet"/>
        <w:spacing w:after="60"/>
      </w:pPr>
      <w:r>
        <w:t>explain risk management, including assessment and mitigation.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Communication, Ethics and Confidentiality</w:t>
      </w:r>
    </w:p>
    <w:p>
      <w:pPr>
        <w:pStyle w:val="ListBullet"/>
        <w:spacing w:after="60"/>
      </w:pPr>
      <w:r>
        <w:t>explain internal and external communication protocols;</w:t>
      </w:r>
    </w:p>
    <w:p>
      <w:pPr>
        <w:pStyle w:val="ListBullet"/>
        <w:spacing w:after="60"/>
      </w:pPr>
      <w:r>
        <w:t>emphasise ethical behaviour and integrity; and</w:t>
      </w:r>
    </w:p>
    <w:p>
      <w:pPr>
        <w:pStyle w:val="ListBullet"/>
        <w:spacing w:after="60"/>
      </w:pPr>
      <w:r>
        <w:t>review confidentiality and the handling of sensitive information.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Support, Evaluation and Follow-Up</w:t>
      </w:r>
    </w:p>
    <w:p>
      <w:pPr>
        <w:pStyle w:val="ListBullet"/>
        <w:spacing w:after="60"/>
      </w:pPr>
      <w:r>
        <w:t>assign a mentor and provide training resources;</w:t>
      </w:r>
    </w:p>
    <w:p>
      <w:pPr>
        <w:pStyle w:val="ListBullet"/>
        <w:spacing w:after="60"/>
      </w:pPr>
      <w:r>
        <w:t>explain how performance is evaluated and invite feedback on the induction;</w:t>
      </w:r>
    </w:p>
    <w:p>
      <w:pPr>
        <w:pStyle w:val="ListBullet"/>
        <w:spacing w:after="60"/>
      </w:pPr>
      <w:r>
        <w:t>complete an induction checklist and obtain a signed acknowledgement; and</w:t>
      </w:r>
    </w:p>
    <w:p>
      <w:pPr>
        <w:pStyle w:val="ListBullet"/>
        <w:spacing w:after="60"/>
      </w:pPr>
      <w:r>
        <w:t>schedule regular check-ins and periodic refresher training.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Key Persons and Authorised Officers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