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DUE DILIGENCE, SCREENING, PROCESSING AND DOCUMENTATION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Due Diligence, Screening, Processing and Documentation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standard procedure for due diligence, screening, processing and documentation across the activities of [Organisation Name], ensuring transparency, legal compliance and operational integrity.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contractors involved in the operations, administration and financial activities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Due Diligence</w:t>
      </w:r>
    </w:p>
    <w:p>
      <w:pPr>
        <w:jc w:val="both"/>
      </w:pPr>
      <w:r>
        <w:t>To evaluate all potential partners, donors, beneficiaries and projects and mitigate risk, the organisation will:</w:t>
      </w:r>
    </w:p>
    <w:p>
      <w:pPr>
        <w:pStyle w:val="ListBullet"/>
        <w:spacing w:after="60"/>
      </w:pPr>
      <w:r>
        <w:t>identify and collect detailed information about the party or project;</w:t>
      </w:r>
    </w:p>
    <w:p>
      <w:pPr>
        <w:pStyle w:val="ListBullet"/>
        <w:spacing w:after="60"/>
      </w:pPr>
      <w:r>
        <w:t>assess that information against set criteria such as financial stability, reputation and mission alignment; and</w:t>
      </w:r>
    </w:p>
    <w:p>
      <w:pPr>
        <w:pStyle w:val="ListBullet"/>
        <w:spacing w:after="60"/>
      </w:pPr>
      <w:r>
        <w:t>verify authenticity through background checks and reference verification.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Screening</w:t>
      </w:r>
    </w:p>
    <w:p>
      <w:pPr>
        <w:jc w:val="both"/>
      </w:pPr>
      <w:r>
        <w:t>To confirm compliance with internal and external requirements, the organisation will:</w:t>
      </w:r>
    </w:p>
    <w:p>
      <w:pPr>
        <w:pStyle w:val="ListBullet"/>
        <w:spacing w:after="60"/>
      </w:pPr>
      <w:r>
        <w:t>conduct comprehensive background checks on potential partners, donors and beneficiaries;</w:t>
      </w:r>
    </w:p>
    <w:p>
      <w:pPr>
        <w:pStyle w:val="ListBullet"/>
        <w:spacing w:after="60"/>
      </w:pPr>
      <w:r>
        <w:t>screen all parties for compliance with relevant law, regulation and internal policy; and</w:t>
      </w:r>
    </w:p>
    <w:p>
      <w:pPr>
        <w:pStyle w:val="ListBullet"/>
        <w:spacing w:after="60"/>
      </w:pPr>
      <w:r>
        <w:t>perform risk assessments to identify potential risks.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Processing</w:t>
      </w:r>
    </w:p>
    <w:p>
      <w:pPr>
        <w:jc w:val="both"/>
      </w:pPr>
      <w:r>
        <w:t>To process operations and transactions accurately and efficiently, the organisation will:</w:t>
      </w:r>
    </w:p>
    <w:p>
      <w:pPr>
        <w:pStyle w:val="ListBullet"/>
        <w:spacing w:after="60"/>
      </w:pPr>
      <w:r>
        <w:t>maintain accurate records of all financial and operational transactions;</w:t>
      </w:r>
    </w:p>
    <w:p>
      <w:pPr>
        <w:pStyle w:val="ListBullet"/>
        <w:spacing w:after="60"/>
      </w:pPr>
      <w:r>
        <w:t>apply a multi-level approval process for accountability; and</w:t>
      </w:r>
    </w:p>
    <w:p>
      <w:pPr>
        <w:pStyle w:val="ListBullet"/>
        <w:spacing w:after="60"/>
      </w:pPr>
      <w:r>
        <w:t>monitor transactions to detect and resolve discrepancies.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Documentation</w:t>
      </w:r>
    </w:p>
    <w:p>
      <w:pPr>
        <w:jc w:val="both"/>
      </w:pPr>
      <w:r>
        <w:t>To maintain organised, auditable records, the organisation will:</w:t>
      </w:r>
    </w:p>
    <w:p>
      <w:pPr>
        <w:pStyle w:val="ListBullet"/>
        <w:spacing w:after="60"/>
      </w:pPr>
      <w:r>
        <w:t>keep records organised and accessible;</w:t>
      </w:r>
    </w:p>
    <w:p>
      <w:pPr>
        <w:pStyle w:val="ListBullet"/>
        <w:spacing w:after="60"/>
      </w:pPr>
      <w:r>
        <w:t>follow standardised documentation practices; and</w:t>
      </w:r>
    </w:p>
    <w:p>
      <w:pPr>
        <w:pStyle w:val="ListBullet"/>
        <w:spacing w:after="60"/>
      </w:pPr>
      <w:r>
        <w:t>archive records systematically, retaining them as required and disposing of them securely.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Accountability</w:t>
      </w:r>
    </w:p>
    <w:p>
      <w:pPr>
        <w:pStyle w:val="ListBullet"/>
        <w:spacing w:after="60"/>
      </w:pPr>
      <w:r>
        <w:t>adhere to ACNC standards;</w:t>
      </w:r>
    </w:p>
    <w:p>
      <w:pPr>
        <w:pStyle w:val="ListBullet"/>
        <w:spacing w:after="60"/>
      </w:pPr>
      <w:r>
        <w:t>provide regular training on these procedures; and</w:t>
      </w:r>
    </w:p>
    <w:p>
      <w:pPr>
        <w:pStyle w:val="ListBullet"/>
        <w:spacing w:after="60"/>
      </w:pPr>
      <w:r>
        <w:t>conduct regular audits to confirm compliance and identify improvements.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Confidentiality</w:t>
      </w:r>
    </w:p>
    <w:p>
      <w:pPr>
        <w:pStyle w:val="ListBullet"/>
        <w:spacing w:after="60"/>
      </w:pPr>
      <w:r>
        <w:t>protect the confidentiality of all information obtained; and</w:t>
      </w:r>
    </w:p>
    <w:p>
      <w:pPr>
        <w:pStyle w:val="ListBullet"/>
        <w:spacing w:after="60"/>
      </w:pPr>
      <w:r>
        <w:t>restrict access to sensitive information to authorised personnel only.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</w:t>
      </w:r>
    </w:p>
    <w:p>
      <w:pPr>
        <w:jc w:val="both"/>
      </w:pPr>
      <w:r>
        <w:t>This policy is reviewed annually by the Board, with amendments subject to Board approval.</w:t>
      </w:r>
    </w:p>
    <w:p>
      <w:r>
        <w:rPr>
          <w:rFonts w:ascii="Calibri" w:hAnsi="Calibri"/>
          <w:i/>
          <w:color w:val="595959"/>
          <w:sz w:val="20"/>
        </w:rPr>
        <w:t>Approved by the Board on [Date]; effective from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Due Diligence, Screening, Processing and Documentation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