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OPERATIONAL RECORD KEEPING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Operational Record Keeping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guidelines for maintaining, managing and retaining operational records at [Organisation Name], ensuring compliance with Australian regulatory requirements and supporting transparency and effective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operational records created, received or maintained by the organisation across governance, finance, human resources, projects and communications, in both physical and electronic form.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Operational Records — documents and data created or received in the course of activities, including emails, contracts, financial statements, minutes, reports and correspondence; and</w:t>
      </w:r>
    </w:p>
    <w:p>
      <w:pPr>
        <w:pStyle w:val="ListBullet"/>
        <w:spacing w:after="60"/>
      </w:pPr>
      <w:r>
        <w:t>Record Custodian — the individual or department responsible for specific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Record Categories and Retention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Governance</w:t>
      </w:r>
    </w:p>
    <w:p>
      <w:pPr>
        <w:pStyle w:val="ListBullet"/>
        <w:spacing w:after="60"/>
      </w:pPr>
      <w:r>
        <w:t>board meeting minutes — retained permanently;</w:t>
      </w:r>
    </w:p>
    <w:p>
      <w:pPr>
        <w:pStyle w:val="ListBullet"/>
        <w:spacing w:after="60"/>
      </w:pPr>
      <w:r>
        <w:t>policies and procedures — retained until superseded plus five years; and</w:t>
      </w:r>
    </w:p>
    <w:p>
      <w:pPr>
        <w:pStyle w:val="ListBullet"/>
        <w:spacing w:after="60"/>
      </w:pPr>
      <w:r>
        <w:t>strategic plans — retained for ten years.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Financial</w:t>
      </w:r>
    </w:p>
    <w:p>
      <w:pPr>
        <w:pStyle w:val="ListBullet"/>
        <w:spacing w:after="60"/>
      </w:pPr>
      <w:r>
        <w:t>financial statements, audits, invoices, receipts, bank statements and payroll records — retained for seven years.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Human resources</w:t>
      </w:r>
    </w:p>
    <w:p>
      <w:pPr>
        <w:pStyle w:val="ListBullet"/>
        <w:spacing w:after="60"/>
      </w:pPr>
      <w:r>
        <w:t>employee contracts and personnel files — retained for seven years after termination; and</w:t>
      </w:r>
    </w:p>
    <w:p>
      <w:pPr>
        <w:pStyle w:val="ListBullet"/>
        <w:spacing w:after="60"/>
      </w:pPr>
      <w:r>
        <w:t>leave records — retained for seven years.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Projects and communications</w:t>
      </w:r>
    </w:p>
    <w:p>
      <w:pPr>
        <w:pStyle w:val="ListBullet"/>
        <w:spacing w:after="60"/>
      </w:pPr>
      <w:r>
        <w:t>project proposals, plans and M&amp;E reports — retained for five years after completion;</w:t>
      </w:r>
    </w:p>
    <w:p>
      <w:pPr>
        <w:pStyle w:val="ListBullet"/>
        <w:spacing w:after="60"/>
      </w:pPr>
      <w:r>
        <w:t>grant agreements and contracts — retained for seven years after completion;</w:t>
      </w:r>
    </w:p>
    <w:p>
      <w:pPr>
        <w:pStyle w:val="ListBullet"/>
        <w:spacing w:after="60"/>
      </w:pPr>
      <w:r>
        <w:t>official correspondence — five years; and</w:t>
      </w:r>
    </w:p>
    <w:p>
      <w:pPr>
        <w:pStyle w:val="ListBullet"/>
        <w:spacing w:after="60"/>
      </w:pPr>
      <w:r>
        <w:t>marketing and publicity materials — three years.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Management Responsibilities</w:t>
      </w:r>
    </w:p>
    <w:p>
      <w:pPr>
        <w:pStyle w:val="ListBullet"/>
        <w:spacing w:after="60"/>
      </w:pPr>
      <w:r>
        <w:t>Record Custodians — ensure records are accurate, complete, secure and accessible; and</w:t>
      </w:r>
    </w:p>
    <w:p>
      <w:pPr>
        <w:pStyle w:val="ListBullet"/>
        <w:spacing w:after="60"/>
      </w:pPr>
      <w:r>
        <w:t>Data Protection Officer — ensures compliance with data protection law and oversees personal data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Creation, Maintenance and Security</w:t>
      </w:r>
    </w:p>
    <w:p>
      <w:pPr>
        <w:pStyle w:val="ListBullet"/>
        <w:spacing w:after="60"/>
      </w:pPr>
      <w:r>
        <w:t>records must be accurate and reflect true and fair transactions;</w:t>
      </w:r>
    </w:p>
    <w:p>
      <w:pPr>
        <w:pStyle w:val="ListBullet"/>
        <w:spacing w:after="60"/>
      </w:pPr>
      <w:r>
        <w:t>records must be stored securely with physical and cybersecurity controls; and</w:t>
      </w:r>
    </w:p>
    <w:p>
      <w:pPr>
        <w:pStyle w:val="ListBullet"/>
        <w:spacing w:after="60"/>
      </w:pPr>
      <w:r>
        <w:t>access is restricted to authorised personnel, with an access log for sensitive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Retention and Disposal</w:t>
      </w:r>
    </w:p>
    <w:p>
      <w:pPr>
        <w:pStyle w:val="ListBullet"/>
        <w:spacing w:after="60"/>
      </w:pPr>
      <w:r>
        <w:t>records are retained for the periods specified and reviewed once expired;</w:t>
      </w:r>
    </w:p>
    <w:p>
      <w:pPr>
        <w:pStyle w:val="ListBullet"/>
        <w:spacing w:after="60"/>
      </w:pPr>
      <w:r>
        <w:t>confidential records are shredded or securely deleted; and</w:t>
      </w:r>
    </w:p>
    <w:p>
      <w:pPr>
        <w:pStyle w:val="ListBullet"/>
        <w:spacing w:after="60"/>
      </w:pPr>
      <w:r>
        <w:t>disposal is documented in a destruction log.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Training</w:t>
      </w:r>
    </w:p>
    <w:p>
      <w:pPr>
        <w:pStyle w:val="ListBullet"/>
        <w:spacing w:after="60"/>
      </w:pPr>
      <w:r>
        <w:t>regular internal audits confirm compliance;</w:t>
      </w:r>
    </w:p>
    <w:p>
      <w:pPr>
        <w:pStyle w:val="ListBullet"/>
        <w:spacing w:after="60"/>
      </w:pPr>
      <w:r>
        <w:t>the policy aligns with ACNC guidelines and data protection law; and</w:t>
      </w:r>
    </w:p>
    <w:p>
      <w:pPr>
        <w:pStyle w:val="ListBullet"/>
        <w:spacing w:after="60"/>
      </w:pPr>
      <w:r>
        <w:t>all staff receive training on record-keeping and data protection.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annually, or as required, with updates communicated to staff and stakeholders.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Operational Record Keeping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