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3864"/>
          <w:sz w:val="40"/>
        </w:rPr>
        <w:t>OPERATIONS POLICY</w:t>
      </w:r>
    </w:p>
    <w:p>
      <w:pPr>
        <w:jc w:val="center"/>
        <w:pBdr>
          <w:bottom w:val="single" w:sz="6" w:space="1" w:color="1F3864"/>
        </w:pBdr>
      </w:pPr>
      <w:r>
        <w:rPr>
          <w:rFonts w:ascii="Calibri" w:hAnsi="Calibri"/>
          <w:i/>
          <w:color w:val="595959"/>
          <w:sz w:val="24"/>
        </w:rPr>
        <w:t>[Organisation Name]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880"/>
        <w:gridCol w:w="6480"/>
      </w:tblGrid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Operations Policy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Organisation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[Organisation Name]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Owner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Approved By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[Board of Directors / 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Version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[1.0]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Effective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Next Review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 — annual review recommended]</w:t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1. Purpose</w:t>
      </w:r>
    </w:p>
    <w:p>
      <w:pPr>
        <w:jc w:val="both"/>
      </w:pPr>
      <w:r>
        <w:t>This policy provides clear guidelines and procedures for the effective and ethical management of [Organisation Name], ensuring all activities align with the organisation's mission.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2. Governance</w:t>
      </w:r>
    </w:p>
    <w:p>
      <w:pPr>
        <w:spacing w:before="80"/>
      </w:pPr>
      <w:r>
        <w:rPr>
          <w:rFonts w:ascii="Calibri" w:hAnsi="Calibri"/>
          <w:b/>
          <w:i/>
          <w:color w:val="1F3864"/>
          <w:sz w:val="22"/>
        </w:rPr>
        <w:t>Board of Directors</w:t>
      </w:r>
    </w:p>
    <w:p>
      <w:pPr>
        <w:pStyle w:val="ListBullet"/>
        <w:spacing w:after="60"/>
      </w:pPr>
      <w:r>
        <w:t>the Board comprises at least five members, including a Chair, Vice-Chair, Secretary, Treasurer and additional members as needed; and</w:t>
      </w:r>
    </w:p>
    <w:p>
      <w:pPr>
        <w:pStyle w:val="ListBullet"/>
        <w:spacing w:after="60"/>
      </w:pPr>
      <w:r>
        <w:t>the Board is responsible for strategic planning, financial oversight, legal and ethical compliance and evaluating the organisation's performance.</w:t>
      </w:r>
    </w:p>
    <w:p>
      <w:pPr>
        <w:spacing w:before="80"/>
      </w:pPr>
      <w:r>
        <w:rPr>
          <w:rFonts w:ascii="Calibri" w:hAnsi="Calibri"/>
          <w:b/>
          <w:i/>
          <w:color w:val="1F3864"/>
          <w:sz w:val="22"/>
        </w:rPr>
        <w:t>Executive Director</w:t>
      </w:r>
    </w:p>
    <w:p>
      <w:pPr>
        <w:pStyle w:val="ListBullet"/>
        <w:spacing w:after="60"/>
      </w:pPr>
      <w:r>
        <w:t>manages day-to-day operations, implements Board decisions and oversees staff and volunteers; and</w:t>
      </w:r>
    </w:p>
    <w:p>
      <w:pPr>
        <w:pStyle w:val="ListBullet"/>
        <w:spacing w:after="60"/>
      </w:pPr>
      <w:r>
        <w:t>reports directly to the Board.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3. Financial Management</w:t>
      </w:r>
    </w:p>
    <w:p>
      <w:pPr>
        <w:pStyle w:val="ListBullet"/>
        <w:spacing w:after="60"/>
      </w:pPr>
      <w:r>
        <w:t>Budgeting — the Executive Director and Treasurer prepare an annual budget for Board approval, with regular reports monitoring spend;</w:t>
      </w:r>
    </w:p>
    <w:p>
      <w:pPr>
        <w:pStyle w:val="ListBullet"/>
        <w:spacing w:after="60"/>
      </w:pPr>
      <w:r>
        <w:t>Fundraising and donations — activities align with the mission and Australian law, and donations are recorded, acknowledged and used as intended;</w:t>
      </w:r>
    </w:p>
    <w:p>
      <w:pPr>
        <w:pStyle w:val="ListBullet"/>
        <w:spacing w:after="60"/>
      </w:pPr>
      <w:r>
        <w:t>Financial controls — duties are segregated across authorisation, custody and record-keeping; and</w:t>
      </w:r>
    </w:p>
    <w:p>
      <w:pPr>
        <w:pStyle w:val="ListBullet"/>
        <w:spacing w:after="60"/>
      </w:pPr>
      <w:r>
        <w:t>Audit — annual external audits confirm financial integrity and transparency.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4. Human Resources</w:t>
      </w:r>
    </w:p>
    <w:p>
      <w:pPr>
        <w:pStyle w:val="ListBullet"/>
        <w:spacing w:after="60"/>
      </w:pPr>
      <w:r>
        <w:t>Recruitment — equal opportunity hiring with mandatory background checks for staff and volunteers;</w:t>
      </w:r>
    </w:p>
    <w:p>
      <w:pPr>
        <w:pStyle w:val="ListBullet"/>
        <w:spacing w:after="60"/>
      </w:pPr>
      <w:r>
        <w:t>Training — orientation for all new staff and volunteers, plus ongoing role-relevant training; and</w:t>
      </w:r>
    </w:p>
    <w:p>
      <w:pPr>
        <w:pStyle w:val="ListBullet"/>
        <w:spacing w:after="60"/>
      </w:pPr>
      <w:r>
        <w:t>Performance — annual reviews and a confidential grievance procedure.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5. Program Management</w:t>
      </w:r>
    </w:p>
    <w:p>
      <w:pPr>
        <w:pStyle w:val="ListBullet"/>
        <w:spacing w:after="60"/>
      </w:pPr>
      <w:r>
        <w:t>Development — programs are based on needs assessments and approved by the Board;</w:t>
      </w:r>
    </w:p>
    <w:p>
      <w:pPr>
        <w:pStyle w:val="ListBullet"/>
        <w:spacing w:after="60"/>
      </w:pPr>
      <w:r>
        <w:t>Implementation — each program has documented objectives, timelines and resources, with regular monitoring and evaluation; and</w:t>
      </w:r>
    </w:p>
    <w:p>
      <w:pPr>
        <w:pStyle w:val="ListBullet"/>
        <w:spacing w:after="60"/>
      </w:pPr>
      <w:r>
        <w:t>Reporting — program managers update the Executive Director and Board, and annual reports are shared with stakeholders and donors.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6. Compliance and Risk Management</w:t>
      </w:r>
    </w:p>
    <w:p>
      <w:pPr>
        <w:pStyle w:val="ListBullet"/>
        <w:spacing w:after="60"/>
      </w:pPr>
      <w:r>
        <w:t>comply with all relevant Australian charity and not-for-profit law and privacy law;</w:t>
      </w:r>
    </w:p>
    <w:p>
      <w:pPr>
        <w:pStyle w:val="ListBullet"/>
        <w:spacing w:after="60"/>
      </w:pPr>
      <w:r>
        <w:t>conduct regular risk assessments and implement mitigation; and</w:t>
      </w:r>
    </w:p>
    <w:p>
      <w:pPr>
        <w:pStyle w:val="ListBullet"/>
        <w:spacing w:after="60"/>
      </w:pPr>
      <w:r>
        <w:t>maintain adequate insurance for property, liability and employee-related risks.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7. Communication and Public Relations</w:t>
      </w:r>
    </w:p>
    <w:p>
      <w:pPr>
        <w:pStyle w:val="ListBullet"/>
        <w:spacing w:after="60"/>
      </w:pPr>
      <w:r>
        <w:t>maintain effective, transparent internal communication through meetings and newsletters; and</w:t>
      </w:r>
    </w:p>
    <w:p>
      <w:pPr>
        <w:pStyle w:val="ListBullet"/>
        <w:spacing w:after="60"/>
      </w:pPr>
      <w:r>
        <w:t>ensure consistent external branding, with media enquiries handled by the Executive Director or a designated spokesperson.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8. Evaluation and Continuous Improvement</w:t>
      </w:r>
    </w:p>
    <w:p>
      <w:pPr>
        <w:jc w:val="both"/>
      </w:pPr>
      <w:r>
        <w:t>Feedback is sought from beneficiaries, donors and stakeholders, and this and other policies are reviewed annually to ensure relevance and effectiveness.</w:t>
      </w:r>
    </w:p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Approval &amp; Acknowledgement</w:t>
      </w:r>
    </w:p>
    <w:p>
      <w:pPr>
        <w:jc w:val="both"/>
      </w:pPr>
      <w:r>
        <w:t>This policy has been approved by the [Board of Directors / approving body] of [Organisation Name]. By signing below, the approving officer confirms the policy has been adopted and that staff and volunteers are required to comply with it.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Approved by (Director / Chair)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  <w:t>Policy Owner</w:t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Version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Author / Reviser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Summary of Changes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[Name]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Initial adoption of policy.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6"/>
      </w:rPr>
      <w:t>Operations Policy  |  [Organisation Name]  |  Template — customise before use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