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APPROVAL FOR SWEEPING FUNDS FROM ONLINE PORTAL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Approval for Sweeping Funds from Online Portal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Introduction</w:t>
      </w:r>
    </w:p>
    <w:p>
      <w:pPr>
        <w:jc w:val="both"/>
      </w:pPr>
      <w:r>
        <w:t>[Organisation Name] is committed to the secure management of funds received through online portals. This policy sets out how the transfer (sweeping) of funds from online portals to the organisation's bank account is approved, ensuring transparency, accuracy and compliance with Australian law.</w:t>
      </w:r>
    </w:p>
    <w:p>
      <w:pPr>
        <w:keepNext/>
        <w:spacing w:before="200" w:after="80"/>
      </w:pPr>
      <w:r>
        <w:rPr>
          <w:rFonts w:ascii="Calibri" w:hAnsi="Calibri"/>
          <w:b/>
          <w:color w:val="1F3864"/>
          <w:sz w:val="26"/>
        </w:rPr>
        <w:t>2. Purpose</w:t>
      </w:r>
    </w:p>
    <w:p>
      <w:pPr>
        <w:pStyle w:val="ListBullet"/>
        <w:spacing w:after="60"/>
      </w:pPr>
      <w:r>
        <w:t>define the approval process for sweeping funds;</w:t>
      </w:r>
    </w:p>
    <w:p>
      <w:pPr>
        <w:pStyle w:val="ListBullet"/>
        <w:spacing w:after="60"/>
      </w:pPr>
      <w:r>
        <w:t>ensure transfers are authorised and documented;</w:t>
      </w:r>
    </w:p>
    <w:p>
      <w:pPr>
        <w:pStyle w:val="ListBullet"/>
        <w:spacing w:after="60"/>
      </w:pPr>
      <w:r>
        <w:t>minimise the risk of error, fraud and unauthorised transactions; and</w:t>
      </w:r>
    </w:p>
    <w:p>
      <w:pPr>
        <w:pStyle w:val="ListBullet"/>
        <w:spacing w:after="60"/>
      </w:pPr>
      <w:r>
        <w:t>comply with Australian financial regulation.</w:t>
      </w:r>
    </w:p>
    <w:p>
      <w:pPr>
        <w:keepNext/>
        <w:spacing w:before="200" w:after="80"/>
      </w:pPr>
      <w:r>
        <w:rPr>
          <w:rFonts w:ascii="Calibri" w:hAnsi="Calibri"/>
          <w:b/>
          <w:color w:val="1F3864"/>
          <w:sz w:val="26"/>
        </w:rPr>
        <w:t>3. Scope and Definitions</w:t>
      </w:r>
    </w:p>
    <w:p>
      <w:pPr>
        <w:pStyle w:val="ListBullet"/>
        <w:spacing w:after="60"/>
      </w:pPr>
      <w:r>
        <w:t>applies to all employees, contractors and volunteers managing or transferring funds from online portals;</w:t>
      </w:r>
    </w:p>
    <w:p>
      <w:pPr>
        <w:pStyle w:val="ListBullet"/>
        <w:spacing w:after="60"/>
      </w:pPr>
      <w:r>
        <w:t>Sweeping funds — transferring accumulated funds from an online donation portal to the bank account; and</w:t>
      </w:r>
    </w:p>
    <w:p>
      <w:pPr>
        <w:pStyle w:val="ListBullet"/>
        <w:spacing w:after="60"/>
      </w:pPr>
      <w:r>
        <w:t>Online portal — any digital platform used to receive donations, grants or other funding.</w:t>
      </w:r>
    </w:p>
    <w:p>
      <w:pPr>
        <w:keepNext/>
        <w:spacing w:before="200" w:after="80"/>
      </w:pPr>
      <w:r>
        <w:rPr>
          <w:rFonts w:ascii="Calibri" w:hAnsi="Calibri"/>
          <w:b/>
          <w:color w:val="1F3864"/>
          <w:sz w:val="26"/>
        </w:rPr>
        <w:t>4. Fund Sweeping Procedures</w:t>
      </w:r>
    </w:p>
    <w:p>
      <w:pPr>
        <w:pStyle w:val="ListBullet"/>
        <w:spacing w:after="60"/>
      </w:pPr>
      <w:r>
        <w:t>Monitoring and verification — track funds received and verify the amount against the portal's transaction records;</w:t>
      </w:r>
    </w:p>
    <w:p>
      <w:pPr>
        <w:pStyle w:val="ListBullet"/>
        <w:spacing w:after="60"/>
      </w:pPr>
      <w:r>
        <w:t>Authorisation levels — by amount (e.g. up to AUD 1,000 — [position]; AUD 1,001–5,000 — [position]; over AUD 5,000 — [position]);</w:t>
      </w:r>
    </w:p>
    <w:p>
      <w:pPr>
        <w:pStyle w:val="ListBullet"/>
        <w:spacing w:after="60"/>
      </w:pPr>
      <w:r>
        <w:t>Initiation — finance initiates the transfer and completes a transfer request form detailing amount, purpose and required approvals;</w:t>
      </w:r>
    </w:p>
    <w:p>
      <w:pPr>
        <w:pStyle w:val="ListBullet"/>
        <w:spacing w:after="60"/>
      </w:pPr>
      <w:r>
        <w:t>Approval — the form is reviewed and signed by the appropriate authorities, with dual authorisation for higher-value transfers;</w:t>
      </w:r>
    </w:p>
    <w:p>
      <w:pPr>
        <w:pStyle w:val="ListBullet"/>
        <w:spacing w:after="60"/>
      </w:pPr>
      <w:r>
        <w:t>Execution — the approved transfer is executed and a confirmation retained; and</w:t>
      </w:r>
    </w:p>
    <w:p>
      <w:pPr>
        <w:pStyle w:val="ListBullet"/>
        <w:spacing w:after="60"/>
      </w:pPr>
      <w:r>
        <w:t>Record-keeping — details are recorded promptly and all documentation retained for at least seven years.</w:t>
      </w:r>
    </w:p>
    <w:p>
      <w:pPr>
        <w:keepNext/>
        <w:spacing w:before="200" w:after="80"/>
      </w:pPr>
      <w:r>
        <w:rPr>
          <w:rFonts w:ascii="Calibri" w:hAnsi="Calibri"/>
          <w:b/>
          <w:color w:val="1F3864"/>
          <w:sz w:val="26"/>
        </w:rPr>
        <w:t>5. Security Measures</w:t>
      </w:r>
    </w:p>
    <w:p>
      <w:pPr>
        <w:pStyle w:val="ListBullet"/>
        <w:spacing w:after="60"/>
      </w:pPr>
      <w:r>
        <w:t>use strong, unique passwords and change them regularly;</w:t>
      </w:r>
    </w:p>
    <w:p>
      <w:pPr>
        <w:pStyle w:val="ListBullet"/>
        <w:spacing w:after="60"/>
      </w:pPr>
      <w:r>
        <w:t>enable multi-factor authentication; and</w:t>
      </w:r>
    </w:p>
    <w:p>
      <w:pPr>
        <w:pStyle w:val="ListBullet"/>
        <w:spacing w:after="60"/>
      </w:pPr>
      <w:r>
        <w:t>limit portal access to authorised personnel.</w:t>
      </w:r>
    </w:p>
    <w:p>
      <w:pPr>
        <w:keepNext/>
        <w:spacing w:before="200" w:after="80"/>
      </w:pPr>
      <w:r>
        <w:rPr>
          <w:rFonts w:ascii="Calibri" w:hAnsi="Calibri"/>
          <w:b/>
          <w:color w:val="1F3864"/>
          <w:sz w:val="26"/>
        </w:rPr>
        <w:t>6. Dispute Resolution and Responsibilities</w:t>
      </w:r>
    </w:p>
    <w:p>
      <w:pPr>
        <w:pStyle w:val="ListBullet"/>
        <w:spacing w:after="60"/>
      </w:pPr>
      <w:r>
        <w:t>report discrepancies to the Finance Manager immediately and hold further transfers until resolved;</w:t>
      </w:r>
    </w:p>
    <w:p>
      <w:pPr>
        <w:pStyle w:val="ListBullet"/>
        <w:spacing w:after="60"/>
      </w:pPr>
      <w:r>
        <w:t>Finance — oversees the process and conducts regular audits; and</w:t>
      </w:r>
    </w:p>
    <w:p>
      <w:pPr>
        <w:pStyle w:val="ListBullet"/>
        <w:spacing w:after="60"/>
      </w:pPr>
      <w:r>
        <w:t>Authorised personnel — verify, authorise and execute transfers and maintain accurate records.</w:t>
      </w:r>
    </w:p>
    <w:p>
      <w:pPr>
        <w:keepNext/>
        <w:spacing w:before="200" w:after="80"/>
      </w:pPr>
      <w:r>
        <w:rPr>
          <w:rFonts w:ascii="Calibri" w:hAnsi="Calibri"/>
          <w:b/>
          <w:color w:val="1F3864"/>
          <w:sz w:val="26"/>
        </w:rPr>
        <w:t>7. Compliance, Training and Review</w:t>
      </w:r>
    </w:p>
    <w:p>
      <w:pPr>
        <w:jc w:val="both"/>
      </w:pPr>
      <w:r>
        <w:t>Relevant staff receive training; breaches must be reported immediately. This policy is reviewed annually or as required.</w:t>
      </w:r>
    </w:p>
    <w:p>
      <w:r>
        <w:rPr>
          <w:rFonts w:ascii="Calibri" w:hAnsi="Calibri"/>
          <w:i/>
          <w:color w:val="595959"/>
          <w:sz w:val="20"/>
        </w:rPr>
        <w:t>Approved by the Board on [Date].</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Approval for Sweeping Funds from Online Portal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