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3864"/>
          <w:sz w:val="40"/>
        </w:rPr>
        <w:t>PAYMENT APPROVAL POLICY</w:t>
      </w:r>
    </w:p>
    <w:p>
      <w:pPr>
        <w:jc w:val="center"/>
        <w:pBdr>
          <w:bottom w:val="single" w:sz="6" w:space="1" w:color="1F3864"/>
        </w:pBdr>
      </w:pPr>
      <w:r>
        <w:rPr>
          <w:rFonts w:ascii="Calibri" w:hAnsi="Calibri"/>
          <w:i/>
          <w:color w:val="595959"/>
          <w:sz w:val="24"/>
        </w:rPr>
        <w:t>[Organisation Name]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880"/>
        <w:gridCol w:w="6480"/>
      </w:tblGrid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Title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Payment Approval Policy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Organisation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[Organisation Name]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Policy Owner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Approved By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[Board of Directors / Position Title]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Version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[1.0]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Effective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</w:tr>
      <w:tr>
        <w:tc>
          <w:tcPr>
            <w:tcW w:type="dxa" w:w="2880"/>
            <w:shd w:val="clear" w:color="auto" w:fill="E8ECF4"/>
          </w:tcPr>
          <w:p>
            <w:r>
              <w:rPr>
                <w:rFonts w:ascii="Calibri" w:hAnsi="Calibri"/>
                <w:b/>
                <w:color w:val="1F3864"/>
                <w:sz w:val="20"/>
              </w:rPr>
              <w:t>Next Review Date</w:t>
            </w:r>
          </w:p>
        </w:tc>
        <w:tc>
          <w:tcPr>
            <w:tcW w:type="dxa" w:w="6480"/>
          </w:tcPr>
          <w:p>
            <w:r>
              <w:rPr>
                <w:rFonts w:ascii="Calibri" w:hAnsi="Calibri"/>
                <w:sz w:val="20"/>
              </w:rPr>
              <w:t>[Date — annual review recommended]</w:t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1. Introduction</w:t>
      </w:r>
    </w:p>
    <w:p>
      <w:pPr>
        <w:jc w:val="both"/>
      </w:pPr>
      <w:r>
        <w:t>[Organisation Name] is committed to a controlled, transparent payment approval process. This policy governs how authorised invoices and other payments are reviewed and disbursed, ensuring accuracy, fraud prevention and compliance with Australian law.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2. Purpose</w:t>
      </w:r>
    </w:p>
    <w:p>
      <w:pPr>
        <w:pStyle w:val="ListBullet"/>
        <w:spacing w:after="60"/>
      </w:pPr>
      <w:r>
        <w:t>define how payments are authorised before disbursement;</w:t>
      </w:r>
    </w:p>
    <w:p>
      <w:pPr>
        <w:pStyle w:val="ListBullet"/>
        <w:spacing w:after="60"/>
      </w:pPr>
      <w:r>
        <w:t>ensure all payments are valid, accurate and properly approved;</w:t>
      </w:r>
    </w:p>
    <w:p>
      <w:pPr>
        <w:pStyle w:val="ListBullet"/>
        <w:spacing w:after="60"/>
      </w:pPr>
      <w:r>
        <w:t>prevent fraud and error in the payment process; and</w:t>
      </w:r>
    </w:p>
    <w:p>
      <w:pPr>
        <w:pStyle w:val="ListBullet"/>
        <w:spacing w:after="60"/>
      </w:pPr>
      <w:r>
        <w:t>comply with Australian financial regulation and good practice.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3. Scope</w:t>
      </w:r>
    </w:p>
    <w:p>
      <w:pPr>
        <w:jc w:val="both"/>
      </w:pPr>
      <w:r>
        <w:t>This policy applies to all employees, contractors and volunteers involved in approving and disbursing payments at [Organisation Name].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4. Payment Approval Procedures</w:t>
      </w:r>
    </w:p>
    <w:p>
      <w:pPr>
        <w:pStyle w:val="ListBullet"/>
        <w:spacing w:after="60"/>
      </w:pPr>
      <w:r>
        <w:t>Pre-conditions — payment is made only against an invoice that has been verified and authorised under the Invoice Approval Policy;</w:t>
      </w:r>
    </w:p>
    <w:p>
      <w:pPr>
        <w:pStyle w:val="ListBullet"/>
        <w:spacing w:after="60"/>
      </w:pPr>
      <w:r>
        <w:t>Authorisation levels — payments are approved according to value bands (e.g. up to AUD 500 — [position]; AUD 501–5,000 — [position]; over AUD 5,000 — [position]), with dual authorisation for higher-value payments;</w:t>
      </w:r>
    </w:p>
    <w:p>
      <w:pPr>
        <w:pStyle w:val="ListBullet"/>
        <w:spacing w:after="60"/>
      </w:pPr>
      <w:r>
        <w:t>Final review — the designated financial officer conducts a final review and approval before disbursement; and</w:t>
      </w:r>
    </w:p>
    <w:p>
      <w:pPr>
        <w:pStyle w:val="ListBullet"/>
        <w:spacing w:after="60"/>
      </w:pPr>
      <w:r>
        <w:t>Disbursement — payments are made through secure methods such as electronic funds transfer (EFT), with no splitting of payments to avoid authorisation limits.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5. Documentation and Record-Keeping</w:t>
      </w:r>
    </w:p>
    <w:p>
      <w:pPr>
        <w:pStyle w:val="ListBullet"/>
        <w:spacing w:after="60"/>
      </w:pPr>
      <w:r>
        <w:t>retain evidence of approval and the payment confirmation with the invoice records;</w:t>
      </w:r>
    </w:p>
    <w:p>
      <w:pPr>
        <w:pStyle w:val="ListBullet"/>
        <w:spacing w:after="60"/>
      </w:pPr>
      <w:r>
        <w:t>maintain electronic records in the accounting system; and</w:t>
      </w:r>
    </w:p>
    <w:p>
      <w:pPr>
        <w:pStyle w:val="ListBullet"/>
        <w:spacing w:after="60"/>
      </w:pPr>
      <w:r>
        <w:t>retain records for at least seven years for audit purposes.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6. Controls and Dispute Resolution</w:t>
      </w:r>
    </w:p>
    <w:p>
      <w:pPr>
        <w:pStyle w:val="ListBullet"/>
        <w:spacing w:after="60"/>
      </w:pPr>
      <w:r>
        <w:t>segregate the duties of approving, disbursing and recording payments;</w:t>
      </w:r>
    </w:p>
    <w:p>
      <w:pPr>
        <w:pStyle w:val="ListBullet"/>
        <w:spacing w:after="60"/>
      </w:pPr>
      <w:r>
        <w:t>investigate and document any discrepancy before further payment; and</w:t>
      </w:r>
    </w:p>
    <w:p>
      <w:pPr>
        <w:pStyle w:val="ListBullet"/>
        <w:spacing w:after="60"/>
      </w:pPr>
      <w:r>
        <w:t>hold disputed payments until resolved.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7. Responsibilities</w:t>
      </w:r>
    </w:p>
    <w:p>
      <w:pPr>
        <w:pStyle w:val="ListBullet"/>
        <w:spacing w:after="60"/>
      </w:pPr>
      <w:r>
        <w:t>Finance — prepares and disburses approved payments and maintains records;</w:t>
      </w:r>
    </w:p>
    <w:p>
      <w:pPr>
        <w:pStyle w:val="ListBullet"/>
        <w:spacing w:after="60"/>
      </w:pPr>
      <w:r>
        <w:t>Designated financial officer — conducts the final approval before disbursement; and</w:t>
      </w:r>
    </w:p>
    <w:p>
      <w:pPr>
        <w:pStyle w:val="ListBullet"/>
        <w:spacing w:after="60"/>
      </w:pPr>
      <w:r>
        <w:t>Authorised approvers — approve within their delegated limits.</w:t>
      </w:r>
    </w:p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8. Compliance, Training and Review</w:t>
      </w:r>
    </w:p>
    <w:p>
      <w:pPr>
        <w:jc w:val="both"/>
      </w:pPr>
      <w:r>
        <w:t>Non-compliance may result in disciplinary action; breaches must be reported immediately. Relevant staff receive regular training, and the policy is reviewed annually or as required.</w:t>
      </w:r>
    </w:p>
    <w:p>
      <w:r>
        <w:rPr>
          <w:rFonts w:ascii="Calibri" w:hAnsi="Calibri"/>
          <w:i/>
          <w:color w:val="595959"/>
          <w:sz w:val="20"/>
        </w:rPr>
        <w:t>Approved by the Board on [Date].</w:t>
      </w:r>
    </w:p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Approval &amp; Acknowledgement</w:t>
      </w:r>
    </w:p>
    <w:p>
      <w:pPr>
        <w:jc w:val="both"/>
      </w:pPr>
      <w:r>
        <w:t>This policy has been approved by the [Board of Directors / approving body] of [Organisation Name]. By signing below, the approving officer confirms the policy has been adopted and that staff and volunteers are required to comply with it.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  <w:t>Approved by (Director / Chair)</w:t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</w:tcPr>
          <w:p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  <w:t>Policy Owner</w:t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340"/>
            <w:shd w:val="clear" w:color="auto" w:fill="F2F4F9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p/>
    <w:p>
      <w:pPr>
        <w:keepNext/>
        <w:spacing w:before="200" w:after="80"/>
      </w:pPr>
      <w:r>
        <w:rPr>
          <w:rFonts w:ascii="Calibri" w:hAnsi="Calibri"/>
          <w:b/>
          <w:color w:val="1F3864"/>
          <w:sz w:val="26"/>
        </w:rPr>
        <w:t>Version History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Author / Reviser</w:t>
            </w:r>
          </w:p>
        </w:tc>
        <w:tc>
          <w:tcPr>
            <w:tcW w:type="dxa" w:w="2340"/>
            <w:shd w:val="clear" w:color="auto" w:fill="1F3864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Summary of Changes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  <w:t>1.0</w:t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  <w:t>[Date]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[Name]</w:t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  <w:t>Initial adoption of policy.</w:t>
            </w:r>
          </w:p>
        </w:tc>
      </w:tr>
      <w:tr>
        <w:tc>
          <w:tcPr>
            <w:tcW w:type="dxa" w:w="1296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1584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</w:r>
          </w:p>
        </w:tc>
        <w:tc>
          <w:tcPr>
            <w:tcW w:type="dxa" w:w="3600"/>
          </w:tcPr>
          <w:p>
            <w:r>
              <w:rPr>
                <w:rFonts w:ascii="Calibri" w:hAnsi="Calibri"/>
                <w:sz w:val="20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6"/>
      </w:rPr>
      <w:t>Payment Approval Policy  |  [Organisation Name]  |  Template — customise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