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USE OF BANK CARDS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Use of Bank Cards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the responsible and secure use of bank cards. This policy sets out the procedures and responsibilities for card use to ensure accountability, transparency and compliance with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define acceptable use of organisation-issued bank cards;</w:t>
      </w:r>
    </w:p>
    <w:p>
      <w:pPr>
        <w:pStyle w:val="ListBullet"/>
        <w:spacing w:after="60"/>
      </w:pPr>
      <w:r>
        <w:t>ensure transactions are authorised, recorded and monitored;</w:t>
      </w:r>
    </w:p>
    <w:p>
      <w:pPr>
        <w:pStyle w:val="ListBullet"/>
        <w:spacing w:after="60"/>
      </w:pPr>
      <w:r>
        <w:t>prevent misuse and fraud; and</w:t>
      </w:r>
    </w:p>
    <w:p>
      <w:pPr>
        <w:pStyle w:val="ListBullet"/>
        <w:spacing w:after="60"/>
      </w:pPr>
      <w:r>
        <w:t>comply with Australian financial regulation.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volunteers and contractors issued a bank card by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Issuance</w:t>
      </w:r>
    </w:p>
    <w:p>
      <w:pPr>
        <w:pStyle w:val="ListBullet"/>
        <w:spacing w:after="60"/>
      </w:pPr>
      <w:r>
        <w:t>cards are issued only to those who need them for official business, approved by the Finance Manager or authorised officer; and</w:t>
      </w:r>
    </w:p>
    <w:p>
      <w:pPr>
        <w:pStyle w:val="ListBullet"/>
        <w:spacing w:after="60"/>
      </w:pPr>
      <w:r>
        <w:t>applicants complete a card application with justification, reviewed and approved by the Finance Manager.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Authorised Use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Permitted</w:t>
      </w:r>
    </w:p>
    <w:p>
      <w:pPr>
        <w:pStyle w:val="ListBullet"/>
        <w:spacing w:after="60"/>
      </w:pPr>
      <w:r>
        <w:t>legitimate business expenses such as travel, office supplies, event costs and approved program activities.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Prohibited</w:t>
      </w:r>
    </w:p>
    <w:p>
      <w:pPr>
        <w:pStyle w:val="ListBullet"/>
        <w:spacing w:after="60"/>
      </w:pPr>
      <w:r>
        <w:t>personal or non-business expenses;</w:t>
      </w:r>
    </w:p>
    <w:p>
      <w:pPr>
        <w:pStyle w:val="ListBullet"/>
        <w:spacing w:after="60"/>
      </w:pPr>
      <w:r>
        <w:t>cash advances or withdrawals unless expressly authorised; and</w:t>
      </w:r>
    </w:p>
    <w:p>
      <w:pPr>
        <w:pStyle w:val="ListBullet"/>
        <w:spacing w:after="60"/>
      </w:pPr>
      <w:r>
        <w:t>splitting transactions to avoid authorisation limits.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Cardholder Responsibilities</w:t>
      </w:r>
    </w:p>
    <w:p>
      <w:pPr>
        <w:pStyle w:val="ListBullet"/>
        <w:spacing w:after="60"/>
      </w:pPr>
      <w:r>
        <w:t>keep the card secure and never share details, reporting loss, theft or suspicious activity immediately;</w:t>
      </w:r>
    </w:p>
    <w:p>
      <w:pPr>
        <w:pStyle w:val="ListBullet"/>
        <w:spacing w:after="60"/>
      </w:pPr>
      <w:r>
        <w:t>retain receipts and submit a monthly expense report with explanations; and</w:t>
      </w:r>
    </w:p>
    <w:p>
      <w:pPr>
        <w:pStyle w:val="ListBullet"/>
        <w:spacing w:after="60"/>
      </w:pPr>
      <w:r>
        <w:t>adhere to transaction and monthly limits and obtain pre-approval for exceptions.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Monitoring and Review</w:t>
      </w:r>
    </w:p>
    <w:p>
      <w:pPr>
        <w:pStyle w:val="ListBullet"/>
        <w:spacing w:after="60"/>
      </w:pPr>
      <w:r>
        <w:t>finance reviews monthly statements for accuracy and compliance and cardholders reconcile against receipts; and</w:t>
      </w:r>
    </w:p>
    <w:p>
      <w:pPr>
        <w:pStyle w:val="ListBullet"/>
        <w:spacing w:after="60"/>
      </w:pPr>
      <w:r>
        <w:t>regular audits identify any misuse or fraud, with discrepancies investigated promptly.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Misuse and Termination</w:t>
      </w:r>
    </w:p>
    <w:p>
      <w:pPr>
        <w:pStyle w:val="ListBullet"/>
        <w:spacing w:after="60"/>
      </w:pPr>
      <w:r>
        <w:t>misuse may result in disciplinary action and personal liability for unauthorised transactions; and</w:t>
      </w:r>
    </w:p>
    <w:p>
      <w:pPr>
        <w:pStyle w:val="ListBullet"/>
        <w:spacing w:after="60"/>
      </w:pPr>
      <w:r>
        <w:t>cards are returned and cancelled on termination or when no longer required, with outstanding transactions reconciled.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Compliance, Training and Review</w:t>
      </w:r>
    </w:p>
    <w:p>
      <w:pPr>
        <w:jc w:val="both"/>
      </w:pPr>
      <w:r>
        <w:t>Cardholders receive training; breaches must be reported immediately. This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Use of Bank Cards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