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F3864"/>
          <w:sz w:val="40"/>
        </w:rPr>
        <w:t>MARKETING COMPLIANCE RESOURCES REGISTER POLICY</w:t>
      </w:r>
    </w:p>
    <w:p>
      <w:pPr>
        <w:jc w:val="center"/>
        <w:pBdr>
          <w:bottom w:val="single" w:sz="6" w:space="1" w:color="1F3864"/>
        </w:pBdr>
      </w:pPr>
      <w:r>
        <w:rPr>
          <w:rFonts w:ascii="Calibri" w:hAnsi="Calibri"/>
          <w:i/>
          <w:color w:val="595959"/>
          <w:sz w:val="24"/>
        </w:rPr>
        <w:t>[Organisation Name]</w:t>
      </w:r>
    </w:p>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6480"/>
      </w:tblGrid>
      <w:tr>
        <w:tc>
          <w:tcPr>
            <w:tcW w:type="dxa" w:w="2880"/>
            <w:shd w:val="clear" w:color="auto" w:fill="E8ECF4"/>
          </w:tcPr>
          <w:p>
            <w:r>
              <w:rPr>
                <w:rFonts w:ascii="Calibri" w:hAnsi="Calibri"/>
                <w:b/>
                <w:color w:val="1F3864"/>
                <w:sz w:val="20"/>
              </w:rPr>
              <w:t>Policy Title</w:t>
            </w:r>
          </w:p>
        </w:tc>
        <w:tc>
          <w:tcPr>
            <w:tcW w:type="dxa" w:w="6480"/>
          </w:tcPr>
          <w:p>
            <w:r>
              <w:rPr>
                <w:rFonts w:ascii="Calibri" w:hAnsi="Calibri"/>
                <w:sz w:val="20"/>
              </w:rPr>
              <w:t>Marketing Compliance Resources Register Policy</w:t>
            </w:r>
          </w:p>
        </w:tc>
      </w:tr>
      <w:tr>
        <w:tc>
          <w:tcPr>
            <w:tcW w:type="dxa" w:w="2880"/>
            <w:shd w:val="clear" w:color="auto" w:fill="E8ECF4"/>
          </w:tcPr>
          <w:p>
            <w:r>
              <w:rPr>
                <w:rFonts w:ascii="Calibri" w:hAnsi="Calibri"/>
                <w:b/>
                <w:color w:val="1F3864"/>
                <w:sz w:val="20"/>
              </w:rPr>
              <w:t>Organisation</w:t>
            </w:r>
          </w:p>
        </w:tc>
        <w:tc>
          <w:tcPr>
            <w:tcW w:type="dxa" w:w="6480"/>
          </w:tcPr>
          <w:p>
            <w:r>
              <w:rPr>
                <w:rFonts w:ascii="Calibri" w:hAnsi="Calibri"/>
                <w:sz w:val="20"/>
              </w:rPr>
              <w:t>[Organisation Name]</w:t>
            </w:r>
          </w:p>
        </w:tc>
      </w:tr>
      <w:tr>
        <w:tc>
          <w:tcPr>
            <w:tcW w:type="dxa" w:w="2880"/>
            <w:shd w:val="clear" w:color="auto" w:fill="E8ECF4"/>
          </w:tcPr>
          <w:p>
            <w:r>
              <w:rPr>
                <w:rFonts w:ascii="Calibri" w:hAnsi="Calibri"/>
                <w:b/>
                <w:color w:val="1F3864"/>
                <w:sz w:val="20"/>
              </w:rPr>
              <w:t>Policy Owner</w:t>
            </w:r>
          </w:p>
        </w:tc>
        <w:tc>
          <w:tcPr>
            <w:tcW w:type="dxa" w:w="6480"/>
          </w:tcPr>
          <w:p>
            <w:r>
              <w:rPr>
                <w:rFonts w:ascii="Calibri" w:hAnsi="Calibri"/>
                <w:sz w:val="20"/>
              </w:rPr>
              <w:t>[Position Title]</w:t>
            </w:r>
          </w:p>
        </w:tc>
      </w:tr>
      <w:tr>
        <w:tc>
          <w:tcPr>
            <w:tcW w:type="dxa" w:w="2880"/>
            <w:shd w:val="clear" w:color="auto" w:fill="E8ECF4"/>
          </w:tcPr>
          <w:p>
            <w:r>
              <w:rPr>
                <w:rFonts w:ascii="Calibri" w:hAnsi="Calibri"/>
                <w:b/>
                <w:color w:val="1F3864"/>
                <w:sz w:val="20"/>
              </w:rPr>
              <w:t>Approved By</w:t>
            </w:r>
          </w:p>
        </w:tc>
        <w:tc>
          <w:tcPr>
            <w:tcW w:type="dxa" w:w="6480"/>
          </w:tcPr>
          <w:p>
            <w:r>
              <w:rPr>
                <w:rFonts w:ascii="Calibri" w:hAnsi="Calibri"/>
                <w:sz w:val="20"/>
              </w:rPr>
              <w:t>[Board of Directors / Position Title]</w:t>
            </w:r>
          </w:p>
        </w:tc>
      </w:tr>
      <w:tr>
        <w:tc>
          <w:tcPr>
            <w:tcW w:type="dxa" w:w="2880"/>
            <w:shd w:val="clear" w:color="auto" w:fill="E8ECF4"/>
          </w:tcPr>
          <w:p>
            <w:r>
              <w:rPr>
                <w:rFonts w:ascii="Calibri" w:hAnsi="Calibri"/>
                <w:b/>
                <w:color w:val="1F3864"/>
                <w:sz w:val="20"/>
              </w:rPr>
              <w:t>Version</w:t>
            </w:r>
          </w:p>
        </w:tc>
        <w:tc>
          <w:tcPr>
            <w:tcW w:type="dxa" w:w="6480"/>
          </w:tcPr>
          <w:p>
            <w:r>
              <w:rPr>
                <w:rFonts w:ascii="Calibri" w:hAnsi="Calibri"/>
                <w:sz w:val="20"/>
              </w:rPr>
              <w:t>[1.0]</w:t>
            </w:r>
          </w:p>
        </w:tc>
      </w:tr>
      <w:tr>
        <w:tc>
          <w:tcPr>
            <w:tcW w:type="dxa" w:w="2880"/>
            <w:shd w:val="clear" w:color="auto" w:fill="E8ECF4"/>
          </w:tcPr>
          <w:p>
            <w:r>
              <w:rPr>
                <w:rFonts w:ascii="Calibri" w:hAnsi="Calibri"/>
                <w:b/>
                <w:color w:val="1F3864"/>
                <w:sz w:val="20"/>
              </w:rPr>
              <w:t>Effective Date</w:t>
            </w:r>
          </w:p>
        </w:tc>
        <w:tc>
          <w:tcPr>
            <w:tcW w:type="dxa" w:w="6480"/>
          </w:tcPr>
          <w:p>
            <w:r>
              <w:rPr>
                <w:rFonts w:ascii="Calibri" w:hAnsi="Calibri"/>
                <w:sz w:val="20"/>
              </w:rPr>
              <w:t>[Date]</w:t>
            </w:r>
          </w:p>
        </w:tc>
      </w:tr>
      <w:tr>
        <w:tc>
          <w:tcPr>
            <w:tcW w:type="dxa" w:w="2880"/>
            <w:shd w:val="clear" w:color="auto" w:fill="E8ECF4"/>
          </w:tcPr>
          <w:p>
            <w:r>
              <w:rPr>
                <w:rFonts w:ascii="Calibri" w:hAnsi="Calibri"/>
                <w:b/>
                <w:color w:val="1F3864"/>
                <w:sz w:val="20"/>
              </w:rPr>
              <w:t>Next Review Date</w:t>
            </w:r>
          </w:p>
        </w:tc>
        <w:tc>
          <w:tcPr>
            <w:tcW w:type="dxa" w:w="6480"/>
          </w:tcPr>
          <w:p>
            <w:r>
              <w:rPr>
                <w:rFonts w:ascii="Calibri" w:hAnsi="Calibri"/>
                <w:sz w:val="20"/>
              </w:rPr>
              <w:t>[Date — annual review recommended]</w:t>
            </w:r>
          </w:p>
        </w:tc>
      </w:tr>
    </w:tbl>
    <w:p/>
    <w:p>
      <w:pPr>
        <w:keepNext/>
        <w:spacing w:before="200" w:after="80"/>
      </w:pPr>
      <w:r>
        <w:rPr>
          <w:rFonts w:ascii="Calibri" w:hAnsi="Calibri"/>
          <w:b/>
          <w:color w:val="1F3864"/>
          <w:sz w:val="26"/>
        </w:rPr>
        <w:t>1. Purpose</w:t>
      </w:r>
    </w:p>
    <w:p>
      <w:pPr>
        <w:jc w:val="both"/>
      </w:pPr>
      <w:r>
        <w:t>This register sets out the key regulatory bodies, guidelines and resources that [Organisation Name] relies on to ensure its marketing activities comply with Australian law and ethical standards. It should be reviewed and updated as regulations change.</w:t>
      </w:r>
    </w:p>
    <w:p>
      <w:pPr>
        <w:keepNext/>
        <w:spacing w:before="200" w:after="80"/>
      </w:pPr>
      <w:r>
        <w:rPr>
          <w:rFonts w:ascii="Calibri" w:hAnsi="Calibri"/>
          <w:b/>
          <w:color w:val="1F3864"/>
          <w:sz w:val="26"/>
        </w:rPr>
        <w:t>2. Regulatory Bodies and Guidelines</w:t>
      </w:r>
    </w:p>
    <w:p>
      <w:pPr>
        <w:pStyle w:val="ListBullet"/>
        <w:spacing w:after="60"/>
      </w:pPr>
      <w:r>
        <w:t>Australian Charities and Not-for-profits Commission (ACNC) — governance standards covering charity responsibilities, legal compliance and responsible financial management;</w:t>
      </w:r>
    </w:p>
    <w:p>
      <w:pPr>
        <w:pStyle w:val="ListBullet"/>
        <w:spacing w:after="60"/>
      </w:pPr>
      <w:r>
        <w:t>Australian Competition and Consumer Commission (ACCC) — advertising and selling guidance ensuring truthful, non-misleading information;</w:t>
      </w:r>
    </w:p>
    <w:p>
      <w:pPr>
        <w:pStyle w:val="ListBullet"/>
        <w:spacing w:after="60"/>
      </w:pPr>
      <w:r>
        <w:t>Office of the Australian Information Commissioner (OAIC) — the Australian Privacy Principles governing handling of personal information; and</w:t>
      </w:r>
    </w:p>
    <w:p>
      <w:pPr>
        <w:pStyle w:val="ListBullet"/>
        <w:spacing w:after="60"/>
      </w:pPr>
      <w:r>
        <w:t>Australian Communications and Media Authority (ACMA) — the Spam Act 2003 governing commercial electronic messages, consent and opt-out.</w:t>
      </w:r>
    </w:p>
    <w:p>
      <w:pPr>
        <w:keepNext/>
        <w:spacing w:before="200" w:after="80"/>
      </w:pPr>
      <w:r>
        <w:rPr>
          <w:rFonts w:ascii="Calibri" w:hAnsi="Calibri"/>
          <w:b/>
          <w:color w:val="1F3864"/>
          <w:sz w:val="26"/>
        </w:rPr>
        <w:t>3. Fundraising Regulations</w:t>
      </w:r>
    </w:p>
    <w:p>
      <w:pPr>
        <w:jc w:val="both"/>
      </w:pPr>
      <w:r>
        <w:t>State and territory fundraising regulators apply where the organisation raises funds publicly, including NSW Fair Trading, Consumer Affairs Victoria, the Queensland Office of Fair Trading, and the equivalent bodies in South Australia, Western Australia, Tasmania, the ACT and the Northern Territory.</w:t>
      </w:r>
    </w:p>
    <w:p>
      <w:pPr>
        <w:keepNext/>
        <w:spacing w:before="200" w:after="80"/>
      </w:pPr>
      <w:r>
        <w:rPr>
          <w:rFonts w:ascii="Calibri" w:hAnsi="Calibri"/>
          <w:b/>
          <w:color w:val="1F3864"/>
          <w:sz w:val="26"/>
        </w:rPr>
        <w:t>4. Advertising Standards</w:t>
      </w:r>
    </w:p>
    <w:p>
      <w:pPr>
        <w:pStyle w:val="ListBullet"/>
        <w:spacing w:after="60"/>
      </w:pPr>
      <w:r>
        <w:t>the Australian Association of National Advertisers (AANA) Code of Ethics, the foundation for ethical advertising; and</w:t>
      </w:r>
    </w:p>
    <w:p>
      <w:pPr>
        <w:pStyle w:val="ListBullet"/>
        <w:spacing w:after="60"/>
      </w:pPr>
      <w:r>
        <w:t>the Therapeutic Goods Administration (TGA) guidelines, where therapeutic goods are advertised.</w:t>
      </w:r>
    </w:p>
    <w:p>
      <w:pPr>
        <w:keepNext/>
        <w:spacing w:before="200" w:after="80"/>
      </w:pPr>
      <w:r>
        <w:rPr>
          <w:rFonts w:ascii="Calibri" w:hAnsi="Calibri"/>
          <w:b/>
          <w:color w:val="1F3864"/>
          <w:sz w:val="26"/>
        </w:rPr>
        <w:t>5. Industry Associations and Good Practice</w:t>
      </w:r>
    </w:p>
    <w:p>
      <w:pPr>
        <w:pStyle w:val="ListBullet"/>
        <w:spacing w:after="60"/>
      </w:pPr>
      <w:r>
        <w:t>Fundraising Institute Australia (FIA) Code — ethical fundraising practice;</w:t>
      </w:r>
    </w:p>
    <w:p>
      <w:pPr>
        <w:pStyle w:val="ListBullet"/>
        <w:spacing w:after="60"/>
      </w:pPr>
      <w:r>
        <w:t>Australian Data and Marketing Association (ADMA) Code of Practice — direct marketing, data protection and consumer rights; and</w:t>
      </w:r>
    </w:p>
    <w:p>
      <w:pPr>
        <w:pStyle w:val="ListBullet"/>
        <w:spacing w:after="60"/>
      </w:pPr>
      <w:r>
        <w:t>Public Relations Institute of Australia (PRIA) Code of Ethics — ethical public relations.</w:t>
      </w:r>
    </w:p>
    <w:p>
      <w:pPr>
        <w:keepNext/>
        <w:spacing w:before="200" w:after="80"/>
      </w:pPr>
      <w:r>
        <w:rPr>
          <w:rFonts w:ascii="Calibri" w:hAnsi="Calibri"/>
          <w:b/>
          <w:color w:val="1F3864"/>
          <w:sz w:val="26"/>
        </w:rPr>
        <w:t>6. Privacy, Environmental Claims and Inclusivity</w:t>
      </w:r>
    </w:p>
    <w:p>
      <w:pPr>
        <w:pStyle w:val="ListBullet"/>
        <w:spacing w:after="60"/>
      </w:pPr>
      <w:r>
        <w:t>OAIC guidance on securing personal information under the Privacy Act 1988 (Cth);</w:t>
      </w:r>
    </w:p>
    <w:p>
      <w:pPr>
        <w:pStyle w:val="ListBullet"/>
        <w:spacing w:after="60"/>
      </w:pPr>
      <w:r>
        <w:t>ACCC guidance on truthful, substantiated environmental claims under the Australian Consumer Law; and</w:t>
      </w:r>
    </w:p>
    <w:p>
      <w:pPr>
        <w:pStyle w:val="ListBullet"/>
        <w:spacing w:after="60"/>
      </w:pPr>
      <w:r>
        <w:t>Reconciliation Australia and the Australian Human Rights Commission resources for culturally sensitive, inclusive communication.</w:t>
      </w:r>
    </w:p>
    <w:p>
      <w:pPr>
        <w:keepNext/>
        <w:spacing w:before="200" w:after="80"/>
      </w:pPr>
      <w:r>
        <w:rPr>
          <w:rFonts w:ascii="Calibri" w:hAnsi="Calibri"/>
          <w:b/>
          <w:color w:val="1F3864"/>
          <w:sz w:val="26"/>
        </w:rPr>
        <w:t>7. Maintenance</w:t>
      </w:r>
    </w:p>
    <w:p>
      <w:pPr>
        <w:jc w:val="both"/>
      </w:pPr>
      <w:r>
        <w:t>The organisation records the current link and contact details for each resource, assigns an owner to monitor regulatory change, and reviews this register at least annually.</w:t>
      </w:r>
    </w:p>
    <w:p>
      <w:r>
        <w:rPr>
          <w:rFonts w:ascii="Calibri" w:hAnsi="Calibri"/>
          <w:i/>
          <w:color w:val="595959"/>
          <w:sz w:val="20"/>
        </w:rPr>
        <w:t>Record current contact details for each regulator (for example, ACNC, ACCC, OAIC, ACMA, FIA and ADMA) alongside this register.</w:t>
      </w:r>
    </w:p>
    <w:p/>
    <w:p>
      <w:pPr>
        <w:keepNext/>
        <w:spacing w:before="200" w:after="80"/>
      </w:pPr>
      <w:r>
        <w:rPr>
          <w:rFonts w:ascii="Calibri" w:hAnsi="Calibri"/>
          <w:b/>
          <w:color w:val="1F3864"/>
          <w:sz w:val="26"/>
        </w:rPr>
        <w:t>Approval &amp; Acknowledgement</w:t>
      </w:r>
    </w:p>
    <w:p>
      <w:pPr>
        <w:jc w:val="both"/>
      </w:pPr>
      <w:r>
        <w:t>This policy has been approved by the [Board of Directors / approving body] of [Organisation Name]. By signing below, the approving officer confirms the policy has been adopted and that staff and volunteers are required to comply with it.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val="clear" w:color="auto" w:fill="1F3864"/>
          </w:tcPr>
          <w:p>
            <w:r>
              <w:rPr>
                <w:rFonts w:ascii="Calibri" w:hAnsi="Calibri"/>
                <w:b/>
                <w:color w:val="FFFFFF"/>
                <w:sz w:val="20"/>
              </w:rPr>
              <w:t>Role</w:t>
            </w:r>
          </w:p>
        </w:tc>
        <w:tc>
          <w:tcPr>
            <w:tcW w:type="dxa" w:w="2340"/>
            <w:shd w:val="clear" w:color="auto" w:fill="1F3864"/>
          </w:tcPr>
          <w:p>
            <w:r>
              <w:rPr>
                <w:rFonts w:ascii="Calibri" w:hAnsi="Calibri"/>
                <w:b/>
                <w:color w:val="FFFFFF"/>
                <w:sz w:val="20"/>
              </w:rPr>
              <w:t>Name</w:t>
            </w:r>
          </w:p>
        </w:tc>
        <w:tc>
          <w:tcPr>
            <w:tcW w:type="dxa" w:w="2340"/>
            <w:shd w:val="clear" w:color="auto" w:fill="1F3864"/>
          </w:tcPr>
          <w:p>
            <w:r>
              <w:rPr>
                <w:rFonts w:ascii="Calibri" w:hAnsi="Calibri"/>
                <w:b/>
                <w:color w:val="FFFFFF"/>
                <w:sz w:val="20"/>
              </w:rPr>
              <w:t>Signature</w:t>
            </w:r>
          </w:p>
        </w:tc>
        <w:tc>
          <w:tcPr>
            <w:tcW w:type="dxa" w:w="2340"/>
            <w:shd w:val="clear" w:color="auto" w:fill="1F3864"/>
          </w:tcPr>
          <w:p>
            <w:r>
              <w:rPr>
                <w:rFonts w:ascii="Calibri" w:hAnsi="Calibri"/>
                <w:b/>
                <w:color w:val="FFFFFF"/>
                <w:sz w:val="20"/>
              </w:rPr>
              <w:t>Date</w:t>
            </w:r>
          </w:p>
        </w:tc>
      </w:tr>
      <w:tr>
        <w:tc>
          <w:tcPr>
            <w:tcW w:type="dxa" w:w="2340"/>
          </w:tcPr>
          <w:p>
            <w:r>
              <w:rPr>
                <w:rFonts w:ascii="Calibri" w:hAnsi="Calibri"/>
                <w:sz w:val="20"/>
              </w:rPr>
              <w:t>Approved by (Director / Chair)</w:t>
            </w:r>
          </w:p>
        </w:tc>
        <w:tc>
          <w:tcPr>
            <w:tcW w:type="dxa" w:w="2340"/>
          </w:tcPr>
          <w:p>
            <w:r>
              <w:rPr>
                <w:rFonts w:ascii="Calibri" w:hAnsi="Calibri"/>
                <w:sz w:val="20"/>
              </w:rPr>
            </w:r>
          </w:p>
        </w:tc>
        <w:tc>
          <w:tcPr>
            <w:tcW w:type="dxa" w:w="2340"/>
          </w:tcPr>
          <w:p>
            <w:r>
              <w:rPr>
                <w:rFonts w:ascii="Calibri" w:hAnsi="Calibri"/>
                <w:sz w:val="20"/>
              </w:rPr>
            </w:r>
          </w:p>
        </w:tc>
        <w:tc>
          <w:tcPr>
            <w:tcW w:type="dxa" w:w="2340"/>
          </w:tcPr>
          <w:p>
            <w:r>
              <w:rPr>
                <w:rFonts w:ascii="Calibri" w:hAnsi="Calibri"/>
                <w:sz w:val="20"/>
              </w:rPr>
            </w:r>
          </w:p>
        </w:tc>
      </w:tr>
      <w:tr>
        <w:tc>
          <w:tcPr>
            <w:tcW w:type="dxa" w:w="2340"/>
            <w:shd w:val="clear" w:color="auto" w:fill="F2F4F9"/>
          </w:tcPr>
          <w:p>
            <w:r>
              <w:rPr>
                <w:rFonts w:ascii="Calibri" w:hAnsi="Calibri"/>
                <w:sz w:val="20"/>
              </w:rPr>
              <w:t>Policy Owner</w:t>
            </w:r>
          </w:p>
        </w:tc>
        <w:tc>
          <w:tcPr>
            <w:tcW w:type="dxa" w:w="2340"/>
            <w:shd w:val="clear" w:color="auto" w:fill="F2F4F9"/>
          </w:tcPr>
          <w:p>
            <w:r>
              <w:rPr>
                <w:rFonts w:ascii="Calibri" w:hAnsi="Calibri"/>
                <w:sz w:val="20"/>
              </w:rPr>
            </w:r>
          </w:p>
        </w:tc>
        <w:tc>
          <w:tcPr>
            <w:tcW w:type="dxa" w:w="2340"/>
            <w:shd w:val="clear" w:color="auto" w:fill="F2F4F9"/>
          </w:tcPr>
          <w:p>
            <w:r>
              <w:rPr>
                <w:rFonts w:ascii="Calibri" w:hAnsi="Calibri"/>
                <w:sz w:val="20"/>
              </w:rPr>
            </w:r>
          </w:p>
        </w:tc>
        <w:tc>
          <w:tcPr>
            <w:tcW w:type="dxa" w:w="2340"/>
            <w:shd w:val="clear" w:color="auto" w:fill="F2F4F9"/>
          </w:tcPr>
          <w:p>
            <w:r>
              <w:rPr>
                <w:rFonts w:ascii="Calibri" w:hAnsi="Calibri"/>
                <w:sz w:val="20"/>
              </w:rPr>
            </w:r>
          </w:p>
        </w:tc>
      </w:tr>
    </w:tbl>
    <w:p/>
    <w:p>
      <w:pPr>
        <w:keepNext/>
        <w:spacing w:before="200" w:after="80"/>
      </w:pPr>
      <w:r>
        <w:rPr>
          <w:rFonts w:ascii="Calibri" w:hAnsi="Calibri"/>
          <w:b/>
          <w:color w:val="1F3864"/>
          <w:sz w:val="26"/>
        </w:rPr>
        <w:t>Version History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val="clear" w:color="auto" w:fill="1F3864"/>
          </w:tcPr>
          <w:p>
            <w:r>
              <w:rPr>
                <w:rFonts w:ascii="Calibri" w:hAnsi="Calibri"/>
                <w:b/>
                <w:color w:val="FFFFFF"/>
                <w:sz w:val="20"/>
              </w:rPr>
              <w:t>Version</w:t>
            </w:r>
          </w:p>
        </w:tc>
        <w:tc>
          <w:tcPr>
            <w:tcW w:type="dxa" w:w="2340"/>
            <w:shd w:val="clear" w:color="auto" w:fill="1F3864"/>
          </w:tcPr>
          <w:p>
            <w:r>
              <w:rPr>
                <w:rFonts w:ascii="Calibri" w:hAnsi="Calibri"/>
                <w:b/>
                <w:color w:val="FFFFFF"/>
                <w:sz w:val="20"/>
              </w:rPr>
              <w:t>Date</w:t>
            </w:r>
          </w:p>
        </w:tc>
        <w:tc>
          <w:tcPr>
            <w:tcW w:type="dxa" w:w="2340"/>
            <w:shd w:val="clear" w:color="auto" w:fill="1F3864"/>
          </w:tcPr>
          <w:p>
            <w:r>
              <w:rPr>
                <w:rFonts w:ascii="Calibri" w:hAnsi="Calibri"/>
                <w:b/>
                <w:color w:val="FFFFFF"/>
                <w:sz w:val="20"/>
              </w:rPr>
              <w:t>Author / Reviser</w:t>
            </w:r>
          </w:p>
        </w:tc>
        <w:tc>
          <w:tcPr>
            <w:tcW w:type="dxa" w:w="2340"/>
            <w:shd w:val="clear" w:color="auto" w:fill="1F3864"/>
          </w:tcPr>
          <w:p>
            <w:r>
              <w:rPr>
                <w:rFonts w:ascii="Calibri" w:hAnsi="Calibri"/>
                <w:b/>
                <w:color w:val="FFFFFF"/>
                <w:sz w:val="20"/>
              </w:rPr>
              <w:t>Summary of Changes</w:t>
            </w:r>
          </w:p>
        </w:tc>
      </w:tr>
      <w:tr>
        <w:tc>
          <w:tcPr>
            <w:tcW w:type="dxa" w:w="1296"/>
          </w:tcPr>
          <w:p>
            <w:r>
              <w:rPr>
                <w:rFonts w:ascii="Calibri" w:hAnsi="Calibri"/>
                <w:sz w:val="20"/>
              </w:rPr>
              <w:t>1.0</w:t>
            </w:r>
          </w:p>
        </w:tc>
        <w:tc>
          <w:tcPr>
            <w:tcW w:type="dxa" w:w="1584"/>
          </w:tcPr>
          <w:p>
            <w:r>
              <w:rPr>
                <w:rFonts w:ascii="Calibri" w:hAnsi="Calibri"/>
                <w:sz w:val="20"/>
              </w:rPr>
              <w:t>[Date]</w:t>
            </w:r>
          </w:p>
        </w:tc>
        <w:tc>
          <w:tcPr>
            <w:tcW w:type="dxa" w:w="2880"/>
          </w:tcPr>
          <w:p>
            <w:r>
              <w:rPr>
                <w:rFonts w:ascii="Calibri" w:hAnsi="Calibri"/>
                <w:sz w:val="20"/>
              </w:rPr>
              <w:t>[Name]</w:t>
            </w:r>
          </w:p>
        </w:tc>
        <w:tc>
          <w:tcPr>
            <w:tcW w:type="dxa" w:w="3600"/>
          </w:tcPr>
          <w:p>
            <w:r>
              <w:rPr>
                <w:rFonts w:ascii="Calibri" w:hAnsi="Calibri"/>
                <w:sz w:val="20"/>
              </w:rPr>
              <w:t>Initial adoption of policy.</w:t>
            </w:r>
          </w:p>
        </w:tc>
      </w:tr>
      <w:tr>
        <w:tc>
          <w:tcPr>
            <w:tcW w:type="dxa" w:w="1296"/>
          </w:tcPr>
          <w:p>
            <w:r>
              <w:rPr>
                <w:rFonts w:ascii="Calibri" w:hAnsi="Calibri"/>
                <w:sz w:val="20"/>
              </w:rPr>
            </w:r>
          </w:p>
        </w:tc>
        <w:tc>
          <w:tcPr>
            <w:tcW w:type="dxa" w:w="1584"/>
          </w:tcPr>
          <w:p>
            <w:r>
              <w:rPr>
                <w:rFonts w:ascii="Calibri" w:hAnsi="Calibri"/>
                <w:sz w:val="20"/>
              </w:rPr>
            </w:r>
          </w:p>
        </w:tc>
        <w:tc>
          <w:tcPr>
            <w:tcW w:type="dxa" w:w="2880"/>
          </w:tcPr>
          <w:p>
            <w:r>
              <w:rPr>
                <w:rFonts w:ascii="Calibri" w:hAnsi="Calibri"/>
                <w:sz w:val="20"/>
              </w:rPr>
            </w:r>
          </w:p>
        </w:tc>
        <w:tc>
          <w:tcPr>
            <w:tcW w:type="dxa" w:w="3600"/>
          </w:tcPr>
          <w:p>
            <w:r>
              <w:rPr>
                <w:rFonts w:ascii="Calibri" w:hAnsi="Calibri"/>
                <w:sz w:val="20"/>
              </w:rPr>
            </w:r>
          </w:p>
        </w:tc>
      </w:tr>
    </w:tbl>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6"/>
      </w:rPr>
      <w:t>Marketing Compliance Resources Register Policy  |  [Organisation Name]  |  Template — customise before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