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MARKETING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Marketing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guidelines for promoting the mission of [Organisation Name], engaging stakeholders and ensuring ethical, effective communication across all marketing channels.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marketing activities — digital, print and event — and to all staff, volunteers and third parties involved in marketing for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Core Principles</w:t>
      </w:r>
    </w:p>
    <w:p>
      <w:pPr>
        <w:pStyle w:val="ListBullet"/>
        <w:spacing w:after="60"/>
      </w:pPr>
      <w:r>
        <w:t>Mission alignment — all activity supports the organisation's mission and values;</w:t>
      </w:r>
    </w:p>
    <w:p>
      <w:pPr>
        <w:pStyle w:val="ListBullet"/>
        <w:spacing w:after="60"/>
      </w:pPr>
      <w:r>
        <w:t>Transparency — clear, honest communication with stakeholders;</w:t>
      </w:r>
    </w:p>
    <w:p>
      <w:pPr>
        <w:pStyle w:val="ListBullet"/>
        <w:spacing w:after="60"/>
      </w:pPr>
      <w:r>
        <w:t>Respect and sensitivity — protecting the dignity and privacy of beneficiaries, donors and others; and</w:t>
      </w:r>
    </w:p>
    <w:p>
      <w:pPr>
        <w:pStyle w:val="ListBullet"/>
        <w:spacing w:after="60"/>
      </w:pPr>
      <w:r>
        <w:t>Inclusivity — promoting diversity and inclusion in all materials.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Objectives</w:t>
      </w:r>
    </w:p>
    <w:p>
      <w:pPr>
        <w:pStyle w:val="ListBullet"/>
        <w:spacing w:after="60"/>
      </w:pPr>
      <w:r>
        <w:t>Awareness — raise awareness of the organisation and its mission;</w:t>
      </w:r>
    </w:p>
    <w:p>
      <w:pPr>
        <w:pStyle w:val="ListBullet"/>
        <w:spacing w:after="60"/>
      </w:pPr>
      <w:r>
        <w:t>Engagement — engage current and potential supporters meaningfully;</w:t>
      </w:r>
    </w:p>
    <w:p>
      <w:pPr>
        <w:pStyle w:val="ListBullet"/>
        <w:spacing w:after="60"/>
      </w:pPr>
      <w:r>
        <w:t>Fundraising — support fundraising through targeted campaigns; and</w:t>
      </w:r>
    </w:p>
    <w:p>
      <w:pPr>
        <w:pStyle w:val="ListBullet"/>
        <w:spacing w:after="60"/>
      </w:pPr>
      <w:r>
        <w:t>Education — inform the public about the issues addressed and the impact of the work.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Target Audience</w:t>
      </w:r>
    </w:p>
    <w:p>
      <w:pPr>
        <w:pStyle w:val="ListBullet"/>
        <w:spacing w:after="60"/>
      </w:pPr>
      <w:r>
        <w:t>donors and supporters;</w:t>
      </w:r>
    </w:p>
    <w:p>
      <w:pPr>
        <w:pStyle w:val="ListBullet"/>
        <w:spacing w:after="60"/>
      </w:pPr>
      <w:r>
        <w:t>beneficiaries;</w:t>
      </w:r>
    </w:p>
    <w:p>
      <w:pPr>
        <w:pStyle w:val="ListBullet"/>
        <w:spacing w:after="60"/>
      </w:pPr>
      <w:r>
        <w:t>volunteers; and</w:t>
      </w:r>
    </w:p>
    <w:p>
      <w:pPr>
        <w:pStyle w:val="ListBullet"/>
        <w:spacing w:after="60"/>
      </w:pPr>
      <w:r>
        <w:t>the wider public.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Channels</w:t>
      </w:r>
    </w:p>
    <w:p>
      <w:pPr>
        <w:pStyle w:val="ListBullet"/>
        <w:spacing w:after="60"/>
      </w:pPr>
      <w:r>
        <w:t>digital — website, social media, email and online advertising;</w:t>
      </w:r>
    </w:p>
    <w:p>
      <w:pPr>
        <w:pStyle w:val="ListBullet"/>
        <w:spacing w:after="60"/>
      </w:pPr>
      <w:r>
        <w:t>print — brochures, flyers, posters and direct mail;</w:t>
      </w:r>
    </w:p>
    <w:p>
      <w:pPr>
        <w:pStyle w:val="ListBullet"/>
        <w:spacing w:after="60"/>
      </w:pPr>
      <w:r>
        <w:t>media relations — press releases, interviews and journalist partnerships; and</w:t>
      </w:r>
    </w:p>
    <w:p>
      <w:pPr>
        <w:pStyle w:val="ListBullet"/>
        <w:spacing w:after="60"/>
      </w:pPr>
      <w:r>
        <w:t>events — fundraising, awareness campaigns and community outreach.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Content Guidelines</w:t>
      </w:r>
    </w:p>
    <w:p>
      <w:pPr>
        <w:pStyle w:val="ListBullet"/>
        <w:spacing w:after="60"/>
      </w:pPr>
      <w:r>
        <w:t>ensure all information is accurate, honest and verifiable;</w:t>
      </w:r>
    </w:p>
    <w:p>
      <w:pPr>
        <w:pStyle w:val="ListBullet"/>
        <w:spacing w:after="60"/>
      </w:pPr>
      <w:r>
        <w:t>use compelling storytelling that respects privacy and dignity;</w:t>
      </w:r>
    </w:p>
    <w:p>
      <w:pPr>
        <w:pStyle w:val="ListBullet"/>
        <w:spacing w:after="60"/>
      </w:pPr>
      <w:r>
        <w:t>use high-quality visual content with consent obtained; and</w:t>
      </w:r>
    </w:p>
    <w:p>
      <w:pPr>
        <w:pStyle w:val="ListBullet"/>
        <w:spacing w:after="60"/>
      </w:pPr>
      <w:r>
        <w:t>maintain brand consistency across all materials.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Ethical Considerations</w:t>
      </w:r>
    </w:p>
    <w:p>
      <w:pPr>
        <w:pStyle w:val="ListBullet"/>
        <w:spacing w:after="60"/>
      </w:pPr>
      <w:r>
        <w:t>do not exploit beneficiaries; obtain informed consent and protect their privacy;</w:t>
      </w:r>
    </w:p>
    <w:p>
      <w:pPr>
        <w:pStyle w:val="ListBullet"/>
        <w:spacing w:after="60"/>
      </w:pPr>
      <w:r>
        <w:t>respect donor confidentiality; and</w:t>
      </w:r>
    </w:p>
    <w:p>
      <w:pPr>
        <w:pStyle w:val="ListBullet"/>
        <w:spacing w:after="60"/>
      </w:pPr>
      <w:r>
        <w:t>avoid misleading statements or exaggeration about the organisation's work and impact.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Social Media</w:t>
      </w:r>
    </w:p>
    <w:p>
      <w:pPr>
        <w:pStyle w:val="ListBullet"/>
        <w:spacing w:after="60"/>
      </w:pPr>
      <w:r>
        <w:t>engage respectfully and positively;</w:t>
      </w:r>
    </w:p>
    <w:p>
      <w:pPr>
        <w:pStyle w:val="ListBullet"/>
        <w:spacing w:after="60"/>
      </w:pPr>
      <w:r>
        <w:t>monitor channels and address inappropriate comments or misinformation promptly; and</w:t>
      </w:r>
    </w:p>
    <w:p>
      <w:pPr>
        <w:pStyle w:val="ListBullet"/>
        <w:spacing w:after="60"/>
      </w:pPr>
      <w:r>
        <w:t>share relevant, mission-aligned content from credible sources.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Monitoring and Evaluation</w:t>
      </w:r>
    </w:p>
    <w:p>
      <w:pPr>
        <w:pStyle w:val="ListBullet"/>
        <w:spacing w:after="60"/>
      </w:pPr>
      <w:r>
        <w:t>track KPIs such as website traffic, social media engagement, fundraising results and media coverage;</w:t>
      </w:r>
    </w:p>
    <w:p>
      <w:pPr>
        <w:pStyle w:val="ListBullet"/>
        <w:spacing w:after="60"/>
      </w:pPr>
      <w:r>
        <w:t>review activities and campaigns regularly; and</w:t>
      </w:r>
    </w:p>
    <w:p>
      <w:pPr>
        <w:pStyle w:val="ListBullet"/>
        <w:spacing w:after="60"/>
      </w:pPr>
      <w:r>
        <w:t>collect and analyse stakeholder feedback to improve.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Compliance and Training</w:t>
      </w:r>
    </w:p>
    <w:p>
      <w:pPr>
        <w:jc w:val="both"/>
      </w:pPr>
      <w:r>
        <w:t>All marketing must comply with relevant law, including data protection and advertising standards, and staff and volunteers receive training on this policy and good practice.</w:t>
      </w:r>
    </w:p>
    <w:p>
      <w:r>
        <w:rPr>
          <w:rFonts w:ascii="Calibri" w:hAnsi="Calibri"/>
          <w:i/>
          <w:color w:val="595959"/>
          <w:sz w:val="20"/>
        </w:rPr>
        <w:t>This policy is reviewed annually to remain ethical, effective and aligned with the mission.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Marketing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