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CHARITY DONATION BOX REGISTRATION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Charity Donation Box Registration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Purpose</w:t>
      </w:r>
    </w:p>
    <w:p>
      <w:pPr>
        <w:jc w:val="both"/>
      </w:pPr>
      <w:r>
        <w:t>This policy establishes guidelines for registering, placing, monitoring and managing charity donation boxes at [Organisation Name], ensuring accountability, legal compliance and effective collection of donations.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Scope</w:t>
      </w:r>
    </w:p>
    <w:p>
      <w:pPr>
        <w:jc w:val="both"/>
      </w:pPr>
      <w:r>
        <w:t>This policy applies to all staff, volunteers and third-party partners involved in managing donation boxes.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Definitions</w:t>
      </w:r>
    </w:p>
    <w:p>
      <w:pPr>
        <w:pStyle w:val="ListBullet"/>
        <w:spacing w:after="60"/>
      </w:pPr>
      <w:r>
        <w:t>Donation Box — a secured container for collecting monetary donations;</w:t>
      </w:r>
    </w:p>
    <w:p>
      <w:pPr>
        <w:pStyle w:val="ListBullet"/>
        <w:spacing w:after="60"/>
      </w:pPr>
      <w:r>
        <w:t>Custodian — the person responsible for a box's placement, monitoring and collection; and</w:t>
      </w:r>
    </w:p>
    <w:p>
      <w:pPr>
        <w:pStyle w:val="ListBullet"/>
        <w:spacing w:after="60"/>
      </w:pPr>
      <w:r>
        <w:t>Host Location — a business or public place where a box is placed.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Registration Process</w:t>
      </w:r>
    </w:p>
    <w:p>
      <w:pPr>
        <w:pStyle w:val="ListBullet"/>
        <w:spacing w:after="60"/>
      </w:pPr>
      <w:r>
        <w:t>submit a formal application with the proposed location, custodian details and purpose;</w:t>
      </w:r>
    </w:p>
    <w:p>
      <w:pPr>
        <w:pStyle w:val="ListBullet"/>
        <w:spacing w:after="60"/>
      </w:pPr>
      <w:r>
        <w:t>the Donations Committee reviews the application for alignment with policy and goals;</w:t>
      </w:r>
    </w:p>
    <w:p>
      <w:pPr>
        <w:pStyle w:val="ListBullet"/>
        <w:spacing w:after="60"/>
      </w:pPr>
      <w:r>
        <w:t>approved boxes are recorded in the central registry; and</w:t>
      </w:r>
    </w:p>
    <w:p>
      <w:pPr>
        <w:pStyle w:val="ListBullet"/>
        <w:spacing w:after="60"/>
      </w:pPr>
      <w:r>
        <w:t>each box is assigned a unique ID and clearly labelled with branding and contact details.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Placement and Monitoring</w:t>
      </w:r>
    </w:p>
    <w:p>
      <w:pPr>
        <w:pStyle w:val="ListBullet"/>
        <w:spacing w:after="60"/>
      </w:pPr>
      <w:r>
        <w:t>enter a formal host location agreement setting out responsibilities, duration and terms, and confirm the location is secure and accessible;</w:t>
      </w:r>
    </w:p>
    <w:p>
      <w:pPr>
        <w:pStyle w:val="ListBullet"/>
        <w:spacing w:after="60"/>
      </w:pPr>
      <w:r>
        <w:t>the custodian monitors the box and follows a regular collection schedule; and</w:t>
      </w:r>
    </w:p>
    <w:p>
      <w:pPr>
        <w:pStyle w:val="ListBullet"/>
        <w:spacing w:after="60"/>
      </w:pPr>
      <w:r>
        <w:t>maintain a log book for each box recording dates and amounts, with collections documented and witnessed.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Security and Compliance</w:t>
      </w:r>
    </w:p>
    <w:p>
      <w:pPr>
        <w:pStyle w:val="ListBullet"/>
        <w:spacing w:after="60"/>
      </w:pPr>
      <w:r>
        <w:t>use tamper-proof, lockable boxes placed in well-lit, monitored areas;</w:t>
      </w:r>
    </w:p>
    <w:p>
      <w:pPr>
        <w:pStyle w:val="ListBullet"/>
        <w:spacing w:after="60"/>
      </w:pPr>
      <w:r>
        <w:t>obtain necessary permits and comply with financial regulation; and</w:t>
      </w:r>
    </w:p>
    <w:p>
      <w:pPr>
        <w:pStyle w:val="ListBullet"/>
        <w:spacing w:after="60"/>
      </w:pPr>
      <w:r>
        <w:t>ensure boxes and funds are covered by the organisation's insurance.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Collection and Accounting</w:t>
      </w:r>
    </w:p>
    <w:p>
      <w:pPr>
        <w:pStyle w:val="ListBullet"/>
        <w:spacing w:after="60"/>
      </w:pPr>
      <w:r>
        <w:t>apply the two-person rule and use sealed, tamper-evident bags;</w:t>
      </w:r>
    </w:p>
    <w:p>
      <w:pPr>
        <w:pStyle w:val="ListBullet"/>
        <w:spacing w:after="60"/>
      </w:pPr>
      <w:r>
        <w:t>count donations in a secure environment and update the central registry; and</w:t>
      </w:r>
    </w:p>
    <w:p>
      <w:pPr>
        <w:pStyle w:val="ListBullet"/>
        <w:spacing w:after="60"/>
      </w:pPr>
      <w:r>
        <w:t>deposit funds promptly and reconcile deposits with collection records.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Reporting, Roles and Review</w:t>
      </w:r>
    </w:p>
    <w:p>
      <w:pPr>
        <w:pStyle w:val="ListBullet"/>
        <w:spacing w:after="60"/>
      </w:pPr>
      <w:r>
        <w:t>produce monthly reports and maintain an audit trail, with public reporting for transparency;</w:t>
      </w:r>
    </w:p>
    <w:p>
      <w:pPr>
        <w:pStyle w:val="ListBullet"/>
        <w:spacing w:after="60"/>
      </w:pPr>
      <w:r>
        <w:t>the Donations Committee approves applications, the Volunteer Coordinator trains and monitors custodians, and custodians maintain and collect; and</w:t>
      </w:r>
    </w:p>
    <w:p>
      <w:pPr>
        <w:pStyle w:val="ListBullet"/>
        <w:spacing w:after="60"/>
      </w:pPr>
      <w:r>
        <w:t>this policy is reviewed annually.</w:t>
      </w:r>
    </w:p>
    <w:p>
      <w:r>
        <w:rPr>
          <w:rFonts w:ascii="Calibri" w:hAnsi="Calibri"/>
          <w:i/>
          <w:color w:val="595959"/>
          <w:sz w:val="20"/>
        </w:rPr>
        <w:t>A Donation Box Registration Form should accompany this policy.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Charity Donation Box Registration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