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COMMUNITY SPONSORSHIPS RELATIONSHIPS COMPLIANCE AND REGISTER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Community Sponsorships Relationships Compliance and Register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Purpose</w:t>
      </w:r>
    </w:p>
    <w:p>
      <w:pPr>
        <w:jc w:val="both"/>
      </w:pPr>
      <w:r>
        <w:t>This policy establishes guidelines for managing community sponsorship relationships at [Organisation Name], ensuring compliance with legal, ethical and organisational standards.</w:t>
      </w:r>
    </w:p>
    <w:p>
      <w:pPr>
        <w:keepNext/>
        <w:spacing w:before="200" w:after="80"/>
      </w:pPr>
      <w:r>
        <w:rPr>
          <w:rFonts w:ascii="Calibri" w:hAnsi="Calibri"/>
          <w:b/>
          <w:color w:val="1F3864"/>
          <w:sz w:val="26"/>
        </w:rPr>
        <w:t>2. Scope</w:t>
      </w:r>
    </w:p>
    <w:p>
      <w:pPr>
        <w:jc w:val="both"/>
      </w:pPr>
      <w:r>
        <w:t>This policy applies to all staff involved in the solicitation, negotiation, management and reporting of community sponsorships.</w:t>
      </w:r>
    </w:p>
    <w:p>
      <w:pPr>
        <w:keepNext/>
        <w:spacing w:before="200" w:after="80"/>
      </w:pPr>
      <w:r>
        <w:rPr>
          <w:rFonts w:ascii="Calibri" w:hAnsi="Calibri"/>
          <w:b/>
          <w:color w:val="1F3864"/>
          <w:sz w:val="26"/>
        </w:rPr>
        <w:t>3. Compliance Resources</w:t>
      </w:r>
    </w:p>
    <w:p>
      <w:pPr>
        <w:pStyle w:val="ListBullet"/>
        <w:spacing w:after="60"/>
      </w:pPr>
      <w:r>
        <w:t>compliance training on relevant law, including anti-corruption, conflict of interest, data protection and fundraising regulation;</w:t>
      </w:r>
    </w:p>
    <w:p>
      <w:pPr>
        <w:pStyle w:val="ListBullet"/>
        <w:spacing w:after="60"/>
      </w:pPr>
      <w:r>
        <w:t>a library of legal and ethical guidance, with access to legal counsel for complex matters; and</w:t>
      </w:r>
    </w:p>
    <w:p>
      <w:pPr>
        <w:pStyle w:val="ListBullet"/>
        <w:spacing w:after="60"/>
      </w:pPr>
      <w:r>
        <w:t>a sponsorship compliance checklist covering due diligence, agreement review and ongoing monitoring.</w:t>
      </w:r>
    </w:p>
    <w:p>
      <w:pPr>
        <w:keepNext/>
        <w:spacing w:before="200" w:after="80"/>
      </w:pPr>
      <w:r>
        <w:rPr>
          <w:rFonts w:ascii="Calibri" w:hAnsi="Calibri"/>
          <w:b/>
          <w:color w:val="1F3864"/>
          <w:sz w:val="26"/>
        </w:rPr>
        <w:t>4. Sponsorship Relationships Register</w:t>
      </w:r>
    </w:p>
    <w:p>
      <w:pPr>
        <w:jc w:val="both"/>
      </w:pPr>
      <w:r>
        <w:t>A centralised register documents each sponsorship relationship, recording sponsor details, sponsorship type, contribution details, key agreement terms, compliance documentation (due diligence and legal reviews), primary contact, dates, reporting requirements and compliance status.</w:t>
      </w:r>
    </w:p>
    <w:p>
      <w:pPr>
        <w:keepNext/>
        <w:spacing w:before="200" w:after="80"/>
      </w:pPr>
      <w:r>
        <w:rPr>
          <w:rFonts w:ascii="Calibri" w:hAnsi="Calibri"/>
          <w:b/>
          <w:color w:val="1F3864"/>
          <w:sz w:val="26"/>
        </w:rPr>
        <w:t>5. Compliance Processes</w:t>
      </w:r>
    </w:p>
    <w:p>
      <w:pPr>
        <w:pStyle w:val="ListBullet"/>
        <w:spacing w:after="60"/>
      </w:pPr>
      <w:r>
        <w:t>Due diligence — confirm sponsors align with the mission and values and assess conflicts and reputational risk;</w:t>
      </w:r>
    </w:p>
    <w:p>
      <w:pPr>
        <w:pStyle w:val="ListBullet"/>
        <w:spacing w:after="60"/>
      </w:pPr>
      <w:r>
        <w:t>Legal review — review agreements for compliance before finalising; and</w:t>
      </w:r>
    </w:p>
    <w:p>
      <w:pPr>
        <w:pStyle w:val="ListBullet"/>
        <w:spacing w:after="60"/>
      </w:pPr>
      <w:r>
        <w:t>Ongoing monitoring — monitor activities against agreed terms and review relationships regularly.</w:t>
      </w:r>
    </w:p>
    <w:p>
      <w:pPr>
        <w:keepNext/>
        <w:spacing w:before="200" w:after="80"/>
      </w:pPr>
      <w:r>
        <w:rPr>
          <w:rFonts w:ascii="Calibri" w:hAnsi="Calibri"/>
          <w:b/>
          <w:color w:val="1F3864"/>
          <w:sz w:val="26"/>
        </w:rPr>
        <w:t>6. Roles and Responsibilities</w:t>
      </w:r>
    </w:p>
    <w:p>
      <w:pPr>
        <w:pStyle w:val="ListBullet"/>
        <w:spacing w:after="60"/>
      </w:pPr>
      <w:r>
        <w:t>Sponsorship Manager — maintains the register and resources, trains staff and conducts due diligence;</w:t>
      </w:r>
    </w:p>
    <w:p>
      <w:pPr>
        <w:pStyle w:val="ListBullet"/>
        <w:spacing w:after="60"/>
      </w:pPr>
      <w:r>
        <w:t>Legal Counsel — reviews agreements and advises on compliance; and</w:t>
      </w:r>
    </w:p>
    <w:p>
      <w:pPr>
        <w:pStyle w:val="ListBullet"/>
        <w:spacing w:after="60"/>
      </w:pPr>
      <w:r>
        <w:t>Finance — monitors financial transactions and provides documentation.</w:t>
      </w:r>
    </w:p>
    <w:p>
      <w:pPr>
        <w:keepNext/>
        <w:spacing w:before="200" w:after="80"/>
      </w:pPr>
      <w:r>
        <w:rPr>
          <w:rFonts w:ascii="Calibri" w:hAnsi="Calibri"/>
          <w:b/>
          <w:color w:val="1F3864"/>
          <w:sz w:val="26"/>
        </w:rPr>
        <w:t>7. Training and Review</w:t>
      </w:r>
    </w:p>
    <w:p>
      <w:pPr>
        <w:jc w:val="both"/>
      </w:pPr>
      <w:r>
        <w:t>Regular training and ongoing support are provided, and this policy is reviewed annually to reflect changes in law and organisational needs.</w:t>
      </w:r>
    </w:p>
    <w:p>
      <w:r>
        <w:rPr>
          <w:rFonts w:ascii="Calibri" w:hAnsi="Calibri"/>
          <w:i/>
          <w:color w:val="595959"/>
          <w:sz w:val="20"/>
        </w:rPr>
        <w:t>Approved by the Board on [Date].</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Community Sponsorships Relationships Compliance and Register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