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F3864"/>
          <w:sz w:val="40"/>
        </w:rPr>
        <w:t>DONOR CARE COMPLIANCE AND COMPLEX REQUESTS MANAGEMENT POLICY</w:t>
      </w:r>
    </w:p>
    <w:p>
      <w:pPr>
        <w:jc w:val="center"/>
        <w:pBdr>
          <w:bottom w:val="single" w:sz="6" w:space="1" w:color="1F3864"/>
        </w:pBdr>
      </w:pPr>
      <w:r>
        <w:rPr>
          <w:rFonts w:ascii="Calibri" w:hAnsi="Calibri"/>
          <w:i/>
          <w:color w:val="595959"/>
          <w:sz w:val="24"/>
        </w:rPr>
        <w:t>[Organisation Name]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880"/>
        <w:gridCol w:w="6480"/>
      </w:tblGrid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Policy Title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Donor Care Compliance and Complex Requests Management Policy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Organisation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[Organisation Name]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Policy Owner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[Position Title]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Approved By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[Board of Directors / Position Title]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Version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[1.0]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Effective Date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[Date]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Next Review Date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[Date — annual review recommended]</w:t>
            </w:r>
          </w:p>
        </w:tc>
      </w:tr>
    </w:tbl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1. Purpose</w:t>
      </w:r>
    </w:p>
    <w:p>
      <w:pPr>
        <w:jc w:val="both"/>
      </w:pPr>
      <w:r>
        <w:t>This policy sets out the procedures for donor care compliance and for handling complex donor requests efficiently and transparently, protecting both donors and [Organisation Name] and maintaining trust, confidentiality and service.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2. Scope</w:t>
      </w:r>
    </w:p>
    <w:p>
      <w:pPr>
        <w:jc w:val="both"/>
      </w:pPr>
      <w:r>
        <w:t>This policy applies to all staff and volunteers involved in donor care, including those handling inquiries, processing donations and maintaining donor records.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3. Legal and Regulatory Compliance</w:t>
      </w:r>
    </w:p>
    <w:p>
      <w:pPr>
        <w:pStyle w:val="ListBullet"/>
        <w:spacing w:after="60"/>
      </w:pPr>
      <w:r>
        <w:t>comply with the Australian Privacy Principles (APPs) under the Privacy Act 1988 (Cth);</w:t>
      </w:r>
    </w:p>
    <w:p>
      <w:pPr>
        <w:pStyle w:val="ListBullet"/>
        <w:spacing w:after="60"/>
      </w:pPr>
      <w:r>
        <w:t>adhere to relevant state and territory fundraising legislation; and</w:t>
      </w:r>
    </w:p>
    <w:p>
      <w:pPr>
        <w:pStyle w:val="ListBullet"/>
        <w:spacing w:after="60"/>
      </w:pPr>
      <w:r>
        <w:t>process donations in line with ATO guidelines for tax-deductible gifts.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4. Donor Care Standards</w:t>
      </w:r>
    </w:p>
    <w:p>
      <w:pPr>
        <w:pStyle w:val="ListBullet"/>
        <w:spacing w:after="60"/>
      </w:pPr>
      <w:r>
        <w:t>transparency about how donations are used;</w:t>
      </w:r>
    </w:p>
    <w:p>
      <w:pPr>
        <w:pStyle w:val="ListBullet"/>
        <w:spacing w:after="60"/>
      </w:pPr>
      <w:r>
        <w:t>responsiveness — typically within two business days; and</w:t>
      </w:r>
    </w:p>
    <w:p>
      <w:pPr>
        <w:pStyle w:val="ListBullet"/>
        <w:spacing w:after="60"/>
      </w:pPr>
      <w:r>
        <w:t>confidentiality of donor information, shared only with consent or as required by law.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5. Handling Complex Requests</w:t>
      </w:r>
    </w:p>
    <w:p>
      <w:pPr>
        <w:pStyle w:val="ListBullet"/>
        <w:spacing w:after="60"/>
      </w:pPr>
      <w:r>
        <w:t>complex requests include significant donations, detailed financial reports, special project funding and legacy gifts;</w:t>
      </w:r>
    </w:p>
    <w:p>
      <w:pPr>
        <w:pStyle w:val="ListBullet"/>
        <w:spacing w:after="60"/>
      </w:pPr>
      <w:r>
        <w:t>a dedicated team or individual manages them;</w:t>
      </w:r>
    </w:p>
    <w:p>
      <w:pPr>
        <w:pStyle w:val="ListBullet"/>
        <w:spacing w:after="60"/>
      </w:pPr>
      <w:r>
        <w:t>an initial assessment assigns the request appropriately, a comprehensive response is provided within an agreed timeframe, and follow-up continues until resolution.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6. Live Agent Interaction</w:t>
      </w:r>
    </w:p>
    <w:p>
      <w:pPr>
        <w:pStyle w:val="ListBullet"/>
        <w:spacing w:after="60"/>
      </w:pPr>
      <w:r>
        <w:t>provide regular training on donor care, privacy and complex requests;</w:t>
      </w:r>
    </w:p>
    <w:p>
      <w:pPr>
        <w:pStyle w:val="ListBullet"/>
        <w:spacing w:after="60"/>
      </w:pPr>
      <w:r>
        <w:t>ensure live agents are available during business hours, with scripts and guidelines for consistency; and</w:t>
      </w:r>
    </w:p>
    <w:p>
      <w:pPr>
        <w:pStyle w:val="ListBullet"/>
        <w:spacing w:after="60"/>
      </w:pPr>
      <w:r>
        <w:t>implement an escalation process for unresolved issues.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7. Record Keeping</w:t>
      </w:r>
    </w:p>
    <w:p>
      <w:pPr>
        <w:pStyle w:val="ListBullet"/>
        <w:spacing w:after="60"/>
      </w:pPr>
      <w:r>
        <w:t>maintain accurate, current records of all interactions and transactions;</w:t>
      </w:r>
    </w:p>
    <w:p>
      <w:pPr>
        <w:pStyle w:val="ListBullet"/>
        <w:spacing w:after="60"/>
      </w:pPr>
      <w:r>
        <w:t>document complex requests, including correspondence and outcomes;</w:t>
      </w:r>
    </w:p>
    <w:p>
      <w:pPr>
        <w:pStyle w:val="ListBullet"/>
        <w:spacing w:after="60"/>
      </w:pPr>
      <w:r>
        <w:t>retain records for at least seven years; and</w:t>
      </w:r>
    </w:p>
    <w:p>
      <w:pPr>
        <w:pStyle w:val="ListBullet"/>
        <w:spacing w:after="60"/>
      </w:pPr>
      <w:r>
        <w:t>store records securely with access limited to authorised personnel.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8. Monitoring and Review</w:t>
      </w:r>
    </w:p>
    <w:p>
      <w:pPr>
        <w:jc w:val="both"/>
      </w:pPr>
      <w:r>
        <w:t>Regular audits confirm compliance, a feedback mechanism captures donor input, and this policy is reviewed annually or as needed.</w:t>
      </w:r>
    </w:p>
    <w:p>
      <w:r>
        <w:rPr>
          <w:rFonts w:ascii="Calibri" w:hAnsi="Calibri"/>
          <w:i/>
          <w:color w:val="595959"/>
          <w:sz w:val="20"/>
        </w:rPr>
        <w:t>Relevant legislation: Privacy Act 1988, the APPs, state and territory fundraising law, ACNC guidelines and ATO guidance. Approved by the [Governing Body] on [Date].</w:t>
      </w:r>
    </w:p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Approval &amp; Acknowledgement</w:t>
      </w:r>
    </w:p>
    <w:p>
      <w:pPr>
        <w:jc w:val="both"/>
      </w:pPr>
      <w:r>
        <w:t>This policy has been approved by the [Board of Directors / approving body] of [Organisation Name]. By signing below, the approving officer confirms the policy has been adopted and that staff and volunteers are required to comply with it.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Signature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Approved by (Director / Chair)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  <w:t>Policy Owner</w:t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Version History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Author / Reviser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Summary of Changes</w:t>
            </w:r>
          </w:p>
        </w:tc>
      </w:tr>
      <w:tr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  <w:t>1.0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sz w:val="20"/>
              </w:rPr>
              <w:t>[Date]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[Name]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  <w:t>Initial adoption of policy.</w:t>
            </w:r>
          </w:p>
        </w:tc>
      </w:tr>
      <w:tr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595959"/>
        <w:sz w:val="16"/>
      </w:rPr>
      <w:t>Donor Care Compliance and Complex Requests Management Policy  |  [Organisation Name]  |  Template — customise before use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