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DONOR CARE TRAINING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Donor Care Training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and standards for donor care training at [Organisation Name], ensuring all staff and volunteers interact with donors ethically, professionally and in compliance with relevant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representatives who engage with donors.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Training Schedule and Content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Schedule</w:t>
      </w:r>
    </w:p>
    <w:p>
      <w:pPr>
        <w:pStyle w:val="ListBullet"/>
        <w:spacing w:after="60"/>
      </w:pPr>
      <w:r>
        <w:t>new staff and volunteers complete initial donor care training within their first month; and</w:t>
      </w:r>
    </w:p>
    <w:p>
      <w:pPr>
        <w:pStyle w:val="ListBullet"/>
        <w:spacing w:after="60"/>
      </w:pPr>
      <w:r>
        <w:t>bi-annual refresher sessions keep everyone current.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Content</w:t>
      </w:r>
    </w:p>
    <w:p>
      <w:pPr>
        <w:pStyle w:val="ListBullet"/>
        <w:spacing w:after="60"/>
      </w:pPr>
      <w:r>
        <w:t>ethical fundraising practices;</w:t>
      </w:r>
    </w:p>
    <w:p>
      <w:pPr>
        <w:pStyle w:val="ListBullet"/>
        <w:spacing w:after="60"/>
      </w:pPr>
      <w:r>
        <w:t>communication skills;</w:t>
      </w:r>
    </w:p>
    <w:p>
      <w:pPr>
        <w:pStyle w:val="ListBullet"/>
        <w:spacing w:after="60"/>
      </w:pPr>
      <w:r>
        <w:t>data protection and privacy, including the Australian Privacy Principles (APPs);</w:t>
      </w:r>
    </w:p>
    <w:p>
      <w:pPr>
        <w:pStyle w:val="ListBullet"/>
        <w:spacing w:after="60"/>
      </w:pPr>
      <w:r>
        <w:t>safeguarding vulnerable donors; and</w:t>
      </w:r>
    </w:p>
    <w:p>
      <w:pPr>
        <w:pStyle w:val="ListBullet"/>
        <w:spacing w:after="60"/>
      </w:pPr>
      <w:r>
        <w:t>social media guidelines.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Training Methods</w:t>
      </w:r>
    </w:p>
    <w:p>
      <w:pPr>
        <w:pStyle w:val="ListBullet"/>
        <w:spacing w:after="60"/>
      </w:pPr>
      <w:r>
        <w:t>interactive workshops with role-play;</w:t>
      </w:r>
    </w:p>
    <w:p>
      <w:pPr>
        <w:pStyle w:val="ListBullet"/>
        <w:spacing w:after="60"/>
      </w:pPr>
      <w:r>
        <w:t>online e-learning modules;</w:t>
      </w:r>
    </w:p>
    <w:p>
      <w:pPr>
        <w:pStyle w:val="ListBullet"/>
        <w:spacing w:after="60"/>
      </w:pPr>
      <w:r>
        <w:t>guest speakers; and</w:t>
      </w:r>
    </w:p>
    <w:p>
      <w:pPr>
        <w:pStyle w:val="ListBullet"/>
        <w:spacing w:after="60"/>
      </w:pPr>
      <w:r>
        <w:t>written manuals and guidelines.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Social Media Guidelines</w:t>
      </w:r>
    </w:p>
    <w:p>
      <w:pPr>
        <w:pStyle w:val="ListBullet"/>
        <w:spacing w:after="60"/>
      </w:pPr>
      <w:r>
        <w:t>conduct all interactions professionally, accurately and confidentially, never sharing donor information without consent;</w:t>
      </w:r>
    </w:p>
    <w:p>
      <w:pPr>
        <w:pStyle w:val="ListBullet"/>
        <w:spacing w:after="60"/>
      </w:pPr>
      <w:r>
        <w:t>have the Communications Manager review and approve content before posting; and</w:t>
      </w:r>
    </w:p>
    <w:p>
      <w:pPr>
        <w:pStyle w:val="ListBullet"/>
        <w:spacing w:after="60"/>
      </w:pPr>
      <w:r>
        <w:t>monitor channels and report any breach immediately.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Safeguarding</w:t>
      </w:r>
    </w:p>
    <w:p>
      <w:pPr>
        <w:pStyle w:val="ListBullet"/>
        <w:spacing w:after="60"/>
      </w:pPr>
      <w:r>
        <w:t>train staff to recognise signs of vulnerability or abuse and provide clear reporting to a designated safeguarding officer;</w:t>
      </w:r>
    </w:p>
    <w:p>
      <w:pPr>
        <w:pStyle w:val="ListBullet"/>
        <w:spacing w:after="60"/>
      </w:pPr>
      <w:r>
        <w:t>maintain confidentiality of reports and investigations; and</w:t>
      </w:r>
    </w:p>
    <w:p>
      <w:pPr>
        <w:pStyle w:val="ListBullet"/>
        <w:spacing w:after="60"/>
      </w:pPr>
      <w:r>
        <w:t>take immediate action where a donor is at risk and provide information on support services.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Responsibilities and Review</w:t>
      </w:r>
    </w:p>
    <w:p>
      <w:pPr>
        <w:jc w:val="both"/>
      </w:pPr>
      <w:r>
        <w:t>Management implements the policy and provides resources; staff and volunteers participate, comply and report concerns. This policy is reviewed annually.</w:t>
      </w:r>
    </w:p>
    <w:p>
      <w:r>
        <w:rPr>
          <w:rFonts w:ascii="Calibri" w:hAnsi="Calibri"/>
          <w:i/>
          <w:color w:val="595959"/>
          <w:sz w:val="20"/>
        </w:rPr>
        <w:t>Policy enquiries: [Name/Title], [Contact].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Donor Care Training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