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ANNUAL INFORMATION STATEMENT (AIS) SUBMISSION POLICY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Annual Information Statement (AIS) Submission Policy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Introduction</w:t>
      </w:r>
    </w:p>
    <w:p>
      <w:pPr>
        <w:jc w:val="both"/>
      </w:pPr>
      <w:r>
        <w:t>This policy sets out the procedures and responsibilities for submitting the Annual Information Statement (AIS) to the Australian Charities and Not-for-profits Commission (ACNC), ensuring compliance, transparency and proper auditing and reporting.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Purpose</w:t>
      </w:r>
    </w:p>
    <w:p>
      <w:pPr>
        <w:pStyle w:val="ListBullet"/>
        <w:spacing w:after="60"/>
      </w:pPr>
      <w:r>
        <w:t>ensure timely, accurate submission of the AIS to the ACNC;</w:t>
      </w:r>
    </w:p>
    <w:p>
      <w:pPr>
        <w:pStyle w:val="ListBullet"/>
        <w:spacing w:after="60"/>
      </w:pPr>
      <w:r>
        <w:t>define responsibilities for AIS submission; and</w:t>
      </w:r>
    </w:p>
    <w:p>
      <w:pPr>
        <w:pStyle w:val="ListBullet"/>
        <w:spacing w:after="60"/>
      </w:pPr>
      <w:r>
        <w:t>outline procedures for compliance, audits and reporting.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Scope</w:t>
      </w:r>
    </w:p>
    <w:p>
      <w:pPr>
        <w:jc w:val="both"/>
      </w:pPr>
      <w:r>
        <w:t>This policy applies to all directors, management and staff involved in preparing, reviewing and submitting the AIS.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Responsibilities</w:t>
      </w:r>
    </w:p>
    <w:p>
      <w:pPr>
        <w:pStyle w:val="ListBullet"/>
        <w:spacing w:after="60"/>
      </w:pPr>
      <w:r>
        <w:t>Board — oversees compliance with ACNC reporting and ensures statutory obligations are met;</w:t>
      </w:r>
    </w:p>
    <w:p>
      <w:pPr>
        <w:pStyle w:val="ListBullet"/>
        <w:spacing w:after="60"/>
      </w:pPr>
      <w:r>
        <w:t>CEO — ensures accurate, timely preparation and submission and oversees this policy;</w:t>
      </w:r>
    </w:p>
    <w:p>
      <w:pPr>
        <w:pStyle w:val="ListBullet"/>
        <w:spacing w:after="60"/>
      </w:pPr>
      <w:r>
        <w:t>CFO — prepares the AIS per ACNC guidelines, maintains records and facilitates audits; and</w:t>
      </w:r>
    </w:p>
    <w:p>
      <w:pPr>
        <w:pStyle w:val="ListBullet"/>
        <w:spacing w:after="60"/>
      </w:pPr>
      <w:r>
        <w:t>Compliance Officer — monitors regulatory change and ensures requirements are met.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Procedure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Preparation</w:t>
      </w:r>
    </w:p>
    <w:p>
      <w:pPr>
        <w:pStyle w:val="ListBullet"/>
        <w:spacing w:after="60"/>
      </w:pPr>
      <w:r>
        <w:t>collect required financial and operational data;</w:t>
      </w:r>
    </w:p>
    <w:p>
      <w:pPr>
        <w:pStyle w:val="ListBullet"/>
        <w:spacing w:after="60"/>
      </w:pPr>
      <w:r>
        <w:t>prepare financial statements per Australian Accounting Standards;</w:t>
      </w:r>
    </w:p>
    <w:p>
      <w:pPr>
        <w:pStyle w:val="ListBullet"/>
        <w:spacing w:after="60"/>
      </w:pPr>
      <w:r>
        <w:t>conduct an internal review for accuracy; and</w:t>
      </w:r>
    </w:p>
    <w:p>
      <w:pPr>
        <w:pStyle w:val="ListBullet"/>
        <w:spacing w:after="60"/>
      </w:pPr>
      <w:r>
        <w:t>obtain Board approval before submission.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Submission to ACNC</w:t>
      </w:r>
    </w:p>
    <w:p>
      <w:pPr>
        <w:pStyle w:val="ListBullet"/>
        <w:spacing w:after="60"/>
      </w:pPr>
      <w:r>
        <w:t>submit by the ACNC due date (usually within six months of the reporting period end);</w:t>
      </w:r>
    </w:p>
    <w:p>
      <w:pPr>
        <w:pStyle w:val="ListBullet"/>
        <w:spacing w:after="60"/>
      </w:pPr>
      <w:r>
        <w:t>submit electronically through the ACNC Charity Portal; and</w:t>
      </w:r>
    </w:p>
    <w:p>
      <w:pPr>
        <w:pStyle w:val="ListBullet"/>
        <w:spacing w:after="60"/>
      </w:pPr>
      <w:r>
        <w:t>retain the submission confirmation.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Compliance monitoring</w:t>
      </w:r>
    </w:p>
    <w:p>
      <w:pPr>
        <w:pStyle w:val="ListBullet"/>
        <w:spacing w:after="60"/>
      </w:pPr>
      <w:r>
        <w:t>review ACNC guidance regularly and implement any required changes promptly.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Audits and Reporting</w:t>
      </w:r>
    </w:p>
    <w:p>
      <w:pPr>
        <w:pStyle w:val="ListBullet"/>
        <w:spacing w:after="60"/>
      </w:pPr>
      <w:r>
        <w:t>conduct periodic internal audits and document findings and corrective actions;</w:t>
      </w:r>
    </w:p>
    <w:p>
      <w:pPr>
        <w:pStyle w:val="ListBullet"/>
        <w:spacing w:after="60"/>
      </w:pPr>
      <w:r>
        <w:t>engage an independent auditor for annual financial audits with full access to records; and</w:t>
      </w:r>
    </w:p>
    <w:p>
      <w:pPr>
        <w:pStyle w:val="ListBullet"/>
        <w:spacing w:after="60"/>
      </w:pPr>
      <w:r>
        <w:t>prepare internal reports for the Board and submit the AIS and financial statements to the ACNC, making the AIS publicly available.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Records, Compliance and Review</w:t>
      </w:r>
    </w:p>
    <w:p>
      <w:pPr>
        <w:jc w:val="both"/>
      </w:pPr>
      <w:r>
        <w:t>AIS records are retained for at least seven years and stored securely. Non-compliance may result in ACNC penalties and is reported to the Board for prompt corrective action. This policy is reviewed annually by the Board.</w:t>
      </w:r>
    </w:p>
    <w:p>
      <w:r>
        <w:rPr>
          <w:rFonts w:ascii="Calibri" w:hAnsi="Calibri"/>
          <w:i/>
          <w:color w:val="595959"/>
          <w:sz w:val="20"/>
        </w:rPr>
        <w:t>Adopted by the Board on [Date].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Annual Information Statement (AIS) Submission Policy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