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COMPLIANCE REPORTING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Compliance Reporting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sets out the principles and procedures for ensuring compliance, conducting audits and reporting within [Organisation Name], to uphold transparency, accountability and adherence to legal and regulatory requirements.</w:t>
      </w:r>
    </w:p>
    <w:p>
      <w:pPr>
        <w:keepNext/>
        <w:spacing w:before="200" w:after="80"/>
      </w:pPr>
      <w:r>
        <w:rPr>
          <w:rFonts w:ascii="Calibri" w:hAnsi="Calibri"/>
          <w:b/>
          <w:color w:val="1F3864"/>
          <w:sz w:val="26"/>
        </w:rPr>
        <w:t>2. Scope</w:t>
      </w:r>
    </w:p>
    <w:p>
      <w:pPr>
        <w:jc w:val="both"/>
      </w:pPr>
      <w:r>
        <w:t>This policy applies to all employees, volunteers, directors and any third parties acting on behalf of [Organisation Name].</w:t>
      </w:r>
    </w:p>
    <w:p>
      <w:pPr>
        <w:keepNext/>
        <w:spacing w:before="200" w:after="80"/>
      </w:pPr>
      <w:r>
        <w:rPr>
          <w:rFonts w:ascii="Calibri" w:hAnsi="Calibri"/>
          <w:b/>
          <w:color w:val="1F3864"/>
          <w:sz w:val="26"/>
        </w:rPr>
        <w:t>3. Compliance Requirements</w:t>
      </w:r>
    </w:p>
    <w:p>
      <w:pPr>
        <w:pStyle w:val="ListBullet"/>
        <w:spacing w:after="60"/>
      </w:pPr>
      <w:r>
        <w:t>adhere to ACNC regulations and to relevant state and federal law, including the Corporations Act 2001, the Taxation Administration Act 1953 and the Fair Work Act 2009;</w:t>
      </w:r>
    </w:p>
    <w:p>
      <w:pPr>
        <w:pStyle w:val="ListBullet"/>
        <w:spacing w:after="60"/>
      </w:pPr>
      <w:r>
        <w:t>keep abreast of regulatory change and update policies accordingly; and</w:t>
      </w:r>
    </w:p>
    <w:p>
      <w:pPr>
        <w:pStyle w:val="ListBullet"/>
        <w:spacing w:after="60"/>
      </w:pPr>
      <w:r>
        <w:t>ensure all activities align with internal policies and the code of conduct.</w:t>
      </w:r>
    </w:p>
    <w:p>
      <w:pPr>
        <w:keepNext/>
        <w:spacing w:before="200" w:after="80"/>
      </w:pPr>
      <w:r>
        <w:rPr>
          <w:rFonts w:ascii="Calibri" w:hAnsi="Calibri"/>
          <w:b/>
          <w:color w:val="1F3864"/>
          <w:sz w:val="26"/>
        </w:rPr>
        <w:t>4. Audits</w:t>
      </w:r>
    </w:p>
    <w:p>
      <w:pPr>
        <w:pStyle w:val="ListBullet"/>
        <w:spacing w:after="60"/>
      </w:pPr>
      <w:r>
        <w:t>Internal — regular internal audits of controls, risk management and compliance, overseen by the audit committee;</w:t>
      </w:r>
    </w:p>
    <w:p>
      <w:pPr>
        <w:pStyle w:val="ListBullet"/>
        <w:spacing w:after="60"/>
      </w:pPr>
      <w:r>
        <w:t>External — annual financial audits by an independent auditor, complying with the Australian Auditing Standards and ACNC requirements; and</w:t>
      </w:r>
    </w:p>
    <w:p>
      <w:pPr>
        <w:pStyle w:val="ListBullet"/>
        <w:spacing w:after="60"/>
      </w:pPr>
      <w:r>
        <w:t>Special — conducted as needed, particularly for suspected violations or at a regulator's request.</w:t>
      </w:r>
    </w:p>
    <w:p>
      <w:pPr>
        <w:keepNext/>
        <w:spacing w:before="200" w:after="80"/>
      </w:pPr>
      <w:r>
        <w:rPr>
          <w:rFonts w:ascii="Calibri" w:hAnsi="Calibri"/>
          <w:b/>
          <w:color w:val="1F3864"/>
          <w:sz w:val="26"/>
        </w:rPr>
        <w:t>5. Reporting</w:t>
      </w:r>
    </w:p>
    <w:p>
      <w:pPr>
        <w:pStyle w:val="ListBullet"/>
        <w:spacing w:after="60"/>
      </w:pPr>
      <w:r>
        <w:t>Internal — a robust mechanism to capture compliance issues, risks and incidents, with protection from reprisal;</w:t>
      </w:r>
    </w:p>
    <w:p>
      <w:pPr>
        <w:pStyle w:val="ListBullet"/>
        <w:spacing w:after="60"/>
      </w:pPr>
      <w:r>
        <w:t>External — timely submission of annual financial statements and compliance reports to the ACNC and other regulators, with key reports made public; and</w:t>
      </w:r>
    </w:p>
    <w:p>
      <w:pPr>
        <w:pStyle w:val="ListBullet"/>
        <w:spacing w:after="60"/>
      </w:pPr>
      <w:r>
        <w:t>Incident — a clear process for reporting and investigating fraud, corruption or unethical behaviour, with all incidents documented.</w:t>
      </w:r>
    </w:p>
    <w:p>
      <w:pPr>
        <w:keepNext/>
        <w:spacing w:before="200" w:after="80"/>
      </w:pPr>
      <w:r>
        <w:rPr>
          <w:rFonts w:ascii="Calibri" w:hAnsi="Calibri"/>
          <w:b/>
          <w:color w:val="1F3864"/>
          <w:sz w:val="26"/>
        </w:rPr>
        <w:t>6. Responsibilities</w:t>
      </w:r>
    </w:p>
    <w:p>
      <w:pPr>
        <w:pStyle w:val="ListBullet"/>
        <w:spacing w:after="60"/>
      </w:pPr>
      <w:r>
        <w:t>Board — ensures overall compliance and reviews compliance reports and audit findings;</w:t>
      </w:r>
    </w:p>
    <w:p>
      <w:pPr>
        <w:pStyle w:val="ListBullet"/>
        <w:spacing w:after="60"/>
      </w:pPr>
      <w:r>
        <w:t>Audit Committee — oversees audits and ensures corrective action;</w:t>
      </w:r>
    </w:p>
    <w:p>
      <w:pPr>
        <w:pStyle w:val="ListBullet"/>
        <w:spacing w:after="60"/>
      </w:pPr>
      <w:r>
        <w:t>Compliance Officer — develops and maintains the compliance program and reports issues; and</w:t>
      </w:r>
    </w:p>
    <w:p>
      <w:pPr>
        <w:pStyle w:val="ListBullet"/>
        <w:spacing w:after="60"/>
      </w:pPr>
      <w:r>
        <w:t>Employees and Volunteers — comply and report concerns promptly.</w:t>
      </w:r>
    </w:p>
    <w:p>
      <w:pPr>
        <w:keepNext/>
        <w:spacing w:before="200" w:after="80"/>
      </w:pPr>
      <w:r>
        <w:rPr>
          <w:rFonts w:ascii="Calibri" w:hAnsi="Calibri"/>
          <w:b/>
          <w:color w:val="1F3864"/>
          <w:sz w:val="26"/>
        </w:rPr>
        <w:t>7. Training, Monitoring and Review</w:t>
      </w:r>
    </w:p>
    <w:p>
      <w:pPr>
        <w:jc w:val="both"/>
      </w:pPr>
      <w:r>
        <w:t>Regular training is provided and compliance activities are monitored. The compliance program is reviewed periodically and the policy updated to reflect changes in law and organisational needs, with accurate records and document control maintained.</w:t>
      </w:r>
    </w:p>
    <w:p>
      <w:r>
        <w:rPr>
          <w:rFonts w:ascii="Calibri" w:hAnsi="Calibri"/>
          <w:i/>
          <w:color w:val="595959"/>
          <w:sz w:val="20"/>
        </w:rPr>
        <w:t>Approved by the Board on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Compliance Reporting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