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COMPLIANCE, AUDITS AND REPORTING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Compliance, Audits and Reporting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a framework for ensuring compliance with relevant laws and regulations, conducting regular audits and maintaining transparent reporting, to uphold the integrity and accountability of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directors, staff and volunteers of the organisation.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Compliance</w:t>
      </w:r>
    </w:p>
    <w:p>
      <w:pPr>
        <w:pStyle w:val="ListBullet"/>
        <w:spacing w:after="60"/>
      </w:pPr>
      <w:r>
        <w:t>comply with all relevant local, state and federal law, including ACNC regulations, the Corporations Act 2001 (Cth) and ATO requirements;</w:t>
      </w:r>
    </w:p>
    <w:p>
      <w:pPr>
        <w:pStyle w:val="ListBullet"/>
        <w:spacing w:after="60"/>
      </w:pPr>
      <w:r>
        <w:t>maintain all necessary registrations, licences and permits; and</w:t>
      </w:r>
    </w:p>
    <w:p>
      <w:pPr>
        <w:pStyle w:val="ListBullet"/>
        <w:spacing w:after="60"/>
      </w:pPr>
      <w:r>
        <w:t>maintain policies and procedures that promote compliance and provide regular training to staff and volunteers.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Audits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Internal audits</w:t>
      </w:r>
    </w:p>
    <w:p>
      <w:pPr>
        <w:pStyle w:val="ListBullet"/>
        <w:spacing w:after="60"/>
      </w:pPr>
      <w:r>
        <w:t>conducted at least annually to assess compliance, financial controls and risk management, overseen by the audit committee.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External audits</w:t>
      </w:r>
    </w:p>
    <w:p>
      <w:pPr>
        <w:pStyle w:val="ListBullet"/>
        <w:spacing w:after="60"/>
      </w:pPr>
      <w:r>
        <w:t>an independent external audit of the financial statements is conducted annually by a qualified auditor approved by the Board.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Audit reports</w:t>
      </w:r>
    </w:p>
    <w:p>
      <w:pPr>
        <w:pStyle w:val="ListBullet"/>
        <w:spacing w:after="60"/>
      </w:pPr>
      <w:r>
        <w:t>results are reported to the Board, and identified issues and recommendations are addressed promptly.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Reporting</w:t>
      </w:r>
    </w:p>
    <w:p>
      <w:pPr>
        <w:pStyle w:val="ListBullet"/>
        <w:spacing w:after="60"/>
      </w:pPr>
      <w:r>
        <w:t>Financial reporting — accurate, timely financial reports prepared in line with applicable accounting standards;</w:t>
      </w:r>
    </w:p>
    <w:p>
      <w:pPr>
        <w:pStyle w:val="ListBullet"/>
        <w:spacing w:after="60"/>
      </w:pPr>
      <w:r>
        <w:t>Annual reports — an annual report made publicly available and submitted to the ACNC and other authorities;</w:t>
      </w:r>
    </w:p>
    <w:p>
      <w:pPr>
        <w:pStyle w:val="ListBullet"/>
        <w:spacing w:after="60"/>
      </w:pPr>
      <w:r>
        <w:t>Incident reporting — a mechanism for reporting fraud, misconduct or non-compliance, with prompt investigation; and</w:t>
      </w:r>
    </w:p>
    <w:p>
      <w:pPr>
        <w:pStyle w:val="ListBullet"/>
        <w:spacing w:after="60"/>
      </w:pPr>
      <w:r>
        <w:t>Whistleblower protection — a policy protecting those who report wrongdoing in good faith, with confidentiality and protection from reprisal.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Responsibilities</w:t>
      </w:r>
    </w:p>
    <w:p>
      <w:pPr>
        <w:pStyle w:val="ListBullet"/>
        <w:spacing w:after="60"/>
      </w:pPr>
      <w:r>
        <w:t>Board — oversees compliance, audit and reporting and allocates adequate resources;</w:t>
      </w:r>
    </w:p>
    <w:p>
      <w:pPr>
        <w:pStyle w:val="ListBullet"/>
        <w:spacing w:after="60"/>
      </w:pPr>
      <w:r>
        <w:t>Management — implements internal controls, supports audits and facilitates accurate reporting; and</w:t>
      </w:r>
    </w:p>
    <w:p>
      <w:pPr>
        <w:pStyle w:val="ListBullet"/>
        <w:spacing w:after="60"/>
      </w:pPr>
      <w:r>
        <w:t>Staff and Volunteers — follow policies and participate in training and compliance activities.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Review</w:t>
      </w:r>
    </w:p>
    <w:p>
      <w:pPr>
        <w:jc w:val="both"/>
      </w:pPr>
      <w:r>
        <w:t>This policy is reviewed annually by the Board, with updates approved and communicated to all stakeholders.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Compliance, Audits and Reporting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