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EXTERNAL AUDITOR ACCESS TO RECORDS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External Auditor Access to Records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sets out the arrangements for granting external auditors access to the records of [Organisation Name], ensuring legal compliance, facilitating audits and supporting transparent reporting.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employees, volunteers, contractors and representatives involved in preparing, maintaining or providing records for external audits.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Definitions</w:t>
      </w:r>
    </w:p>
    <w:p>
      <w:pPr>
        <w:pStyle w:val="ListBullet"/>
        <w:spacing w:after="60"/>
      </w:pPr>
      <w:r>
        <w:t>External Auditor — an independent entity or individual engaged to perform audits, reviews or compliance checks; and</w:t>
      </w:r>
    </w:p>
    <w:p>
      <w:pPr>
        <w:pStyle w:val="ListBullet"/>
        <w:spacing w:after="60"/>
      </w:pPr>
      <w:r>
        <w:t>Records — documents, electronic files, databases and other information relevant to operations and subject to audit.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Policy Statement</w:t>
      </w:r>
    </w:p>
    <w:p>
      <w:pPr>
        <w:jc w:val="both"/>
      </w:pPr>
      <w:r>
        <w:t>The organisation is committed to transparency and accountability. External auditors are granted access to necessary records in a manner that protects the integrity of the information and complies with legal and regulatory requirements.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Procedures</w:t>
      </w:r>
    </w:p>
    <w:p>
      <w:pPr>
        <w:pStyle w:val="ListBullet"/>
        <w:spacing w:after="60"/>
      </w:pPr>
      <w:r>
        <w:t>Authorisation — auditors are formally engaged through a Board-approved contract with a clearly defined scope;</w:t>
      </w:r>
    </w:p>
    <w:p>
      <w:pPr>
        <w:pStyle w:val="ListBullet"/>
        <w:spacing w:after="60"/>
      </w:pPr>
      <w:r>
        <w:t>Access — auditors are given access to all records relevant to the audit, facilitated by the Compliance Officer in a secure, controlled manner;</w:t>
      </w:r>
    </w:p>
    <w:p>
      <w:pPr>
        <w:pStyle w:val="ListBullet"/>
        <w:spacing w:after="60"/>
      </w:pPr>
      <w:r>
        <w:t>Confidentiality — auditors sign a confidentiality agreement before accessing records;</w:t>
      </w:r>
    </w:p>
    <w:p>
      <w:pPr>
        <w:pStyle w:val="ListBullet"/>
        <w:spacing w:after="60"/>
      </w:pPr>
      <w:r>
        <w:t>Preparation — staff ensure documents are complete, accurate and current, with digital records readable and physical records organised securely;</w:t>
      </w:r>
    </w:p>
    <w:p>
      <w:pPr>
        <w:pStyle w:val="ListBullet"/>
        <w:spacing w:after="60"/>
      </w:pPr>
      <w:r>
        <w:t>Supervision — the Compliance Officer assists auditors and provides clarification promptly; and</w:t>
      </w:r>
    </w:p>
    <w:p>
      <w:pPr>
        <w:pStyle w:val="ListBullet"/>
        <w:spacing w:after="60"/>
      </w:pPr>
      <w:r>
        <w:t>Record keeping — a log of all records provided is maintained, and findings are stored securely and reviewed by the Board.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Compliance and Review</w:t>
      </w:r>
    </w:p>
    <w:p>
      <w:pPr>
        <w:jc w:val="both"/>
      </w:pPr>
      <w:r>
        <w:t>This policy is reviewed annually or as legislation changes; non-compliance may result in disciplinary action up to termination.</w:t>
      </w:r>
    </w:p>
    <w:p>
      <w:r>
        <w:rPr>
          <w:rFonts w:ascii="Calibri" w:hAnsi="Calibri"/>
          <w:i/>
          <w:color w:val="595959"/>
          <w:sz w:val="20"/>
        </w:rPr>
        <w:t>Compliance enquiries: [Compliance Officer], [Contact]. Approved by: [Board/CEO]. Date: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External Auditor Access to Records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