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GENERAL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General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[Organisation Name] maintains a high standard of transparency, accountability and compliance, setting out procedures for financial and operational reporting, compliance and audits.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directors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Policy Statement</w:t>
      </w:r>
    </w:p>
    <w:p>
      <w:pPr>
        <w:pStyle w:val="ListBullet"/>
        <w:spacing w:after="60"/>
      </w:pPr>
      <w:r>
        <w:t>ensure accurate, timely reporting of financial and operational activities;</w:t>
      </w:r>
    </w:p>
    <w:p>
      <w:pPr>
        <w:pStyle w:val="ListBullet"/>
        <w:spacing w:after="60"/>
      </w:pPr>
      <w:r>
        <w:t>comply with all relevant laws, regulations and standards;</w:t>
      </w:r>
    </w:p>
    <w:p>
      <w:pPr>
        <w:pStyle w:val="ListBullet"/>
        <w:spacing w:after="60"/>
      </w:pPr>
      <w:r>
        <w:t>maintain transparent, accountable governance; and</w:t>
      </w:r>
    </w:p>
    <w:p>
      <w:pPr>
        <w:pStyle w:val="ListBullet"/>
        <w:spacing w:after="60"/>
      </w:pPr>
      <w:r>
        <w:t>conduct regular audits to verify compliance and identify improvements.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Reporting Responsibilities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Financial reporting</w:t>
      </w:r>
    </w:p>
    <w:p>
      <w:pPr>
        <w:pStyle w:val="ListBullet"/>
        <w:spacing w:after="60"/>
      </w:pPr>
      <w:r>
        <w:t>monthly financial statements to the Board;</w:t>
      </w:r>
    </w:p>
    <w:p>
      <w:pPr>
        <w:pStyle w:val="ListBullet"/>
        <w:spacing w:after="60"/>
      </w:pPr>
      <w:r>
        <w:t>quarterly reports including budget variance and cash flow; and</w:t>
      </w:r>
    </w:p>
    <w:p>
      <w:pPr>
        <w:pStyle w:val="ListBullet"/>
        <w:spacing w:after="60"/>
      </w:pPr>
      <w:r>
        <w:t>an annual financial report prepared per Australian Accounting Standards and submitted to the ACNC.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Operational reporting</w:t>
      </w:r>
    </w:p>
    <w:p>
      <w:pPr>
        <w:pStyle w:val="ListBullet"/>
        <w:spacing w:after="60"/>
      </w:pPr>
      <w:r>
        <w:t>quarterly program reports on performance, outcomes and financial status; and</w:t>
      </w:r>
    </w:p>
    <w:p>
      <w:pPr>
        <w:pStyle w:val="ListBullet"/>
        <w:spacing w:after="60"/>
      </w:pPr>
      <w:r>
        <w:t>bi-annual compliance reports from the compliance officer.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Compliance</w:t>
      </w:r>
    </w:p>
    <w:p>
      <w:pPr>
        <w:pStyle w:val="ListBullet"/>
        <w:spacing w:after="60"/>
      </w:pPr>
      <w:r>
        <w:t>comply with ACNC governance standards, ATO requirements and other obligations, keeping current with change; and</w:t>
      </w:r>
    </w:p>
    <w:p>
      <w:pPr>
        <w:pStyle w:val="ListBullet"/>
        <w:spacing w:after="60"/>
      </w:pPr>
      <w:r>
        <w:t>implement internal policies and provide compliance training.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Audits</w:t>
      </w:r>
    </w:p>
    <w:p>
      <w:pPr>
        <w:pStyle w:val="ListBullet"/>
        <w:spacing w:after="60"/>
      </w:pPr>
      <w:r>
        <w:t>internal audits annually of financial records, controls and procedures, reported to the Board; and</w:t>
      </w:r>
    </w:p>
    <w:p>
      <w:pPr>
        <w:pStyle w:val="ListBullet"/>
        <w:spacing w:after="60"/>
      </w:pPr>
      <w:r>
        <w:t>an annual independent external audit, reviewed by the Board with issues addressed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Violations, Records and Review</w:t>
      </w:r>
    </w:p>
    <w:p>
      <w:pPr>
        <w:pStyle w:val="ListBullet"/>
        <w:spacing w:after="60"/>
      </w:pPr>
      <w:r>
        <w:t>a whistleblower policy encourages and protects those who report wrongdoing, with prompt investigation;</w:t>
      </w:r>
    </w:p>
    <w:p>
      <w:pPr>
        <w:pStyle w:val="ListBullet"/>
        <w:spacing w:after="60"/>
      </w:pPr>
      <w:r>
        <w:t>accurate, complete records are maintained and retained per legal requirements; and</w:t>
      </w:r>
    </w:p>
    <w:p>
      <w:pPr>
        <w:pStyle w:val="ListBullet"/>
        <w:spacing w:after="60"/>
      </w:pPr>
      <w:r>
        <w:t>this policy is reviewed annually by the Board, with updates communicated.</w:t>
      </w:r>
    </w:p>
    <w:p>
      <w:r>
        <w:rPr>
          <w:rFonts w:ascii="Calibri" w:hAnsi="Calibri"/>
          <w:i/>
          <w:color w:val="595959"/>
          <w:sz w:val="20"/>
        </w:rPr>
        <w:t>Approved by: [Name], [Title]. Effective: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General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