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WHISTLEBLOWING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Whistleblowing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is committed to upholding the highest standards of honesty, integrity and ethical conduct. This policy exists to encourage people to speak up about suspected wrongdoing and to protect those who do so in good faith.</w:t>
      </w:r>
    </w:p>
    <w:p>
      <w:pPr>
        <w:keepNext/>
        <w:spacing w:before="200" w:after="80"/>
      </w:pPr>
      <w:r>
        <w:rPr>
          <w:rFonts w:ascii="Calibri" w:hAnsi="Calibri"/>
          <w:b/>
          <w:color w:val="1F3864"/>
          <w:sz w:val="26"/>
        </w:rPr>
        <w:t>2. Purpose</w:t>
      </w:r>
    </w:p>
    <w:p>
      <w:pPr>
        <w:jc w:val="both"/>
      </w:pPr>
      <w:r>
        <w:t>The aims of this policy are to:</w:t>
      </w:r>
    </w:p>
    <w:p>
      <w:pPr>
        <w:pStyle w:val="ListBullet"/>
        <w:spacing w:after="60"/>
      </w:pPr>
      <w:r>
        <w:t>Promote the reporting of suspected unethical, unlawful or improper conduct;</w:t>
      </w:r>
    </w:p>
    <w:p>
      <w:pPr>
        <w:pStyle w:val="ListBullet"/>
        <w:spacing w:after="60"/>
      </w:pPr>
      <w:r>
        <w:t>Provide a clear and consistent framework for managing such reports;</w:t>
      </w:r>
    </w:p>
    <w:p>
      <w:pPr>
        <w:pStyle w:val="ListBullet"/>
        <w:spacing w:after="60"/>
      </w:pPr>
      <w:r>
        <w:t>Safeguard individuals who raise concerns against any form of reprisal; and</w:t>
      </w:r>
    </w:p>
    <w:p>
      <w:pPr>
        <w:pStyle w:val="ListBullet"/>
        <w:spacing w:after="60"/>
      </w:pPr>
      <w:r>
        <w:t>Support compliance with relevant obligations, including the Corporations Act 2001 (Cth) and the governance standards of the Australian Charities and Not-for-profits Commission (ACNC).</w:t>
      </w:r>
    </w:p>
    <w:p>
      <w:pPr>
        <w:keepNext/>
        <w:spacing w:before="200" w:after="80"/>
      </w:pPr>
      <w:r>
        <w:rPr>
          <w:rFonts w:ascii="Calibri" w:hAnsi="Calibri"/>
          <w:b/>
          <w:color w:val="1F3864"/>
          <w:sz w:val="26"/>
        </w:rPr>
        <w:t>3. Scope</w:t>
      </w:r>
    </w:p>
    <w:p>
      <w:pPr>
        <w:jc w:val="both"/>
      </w:pPr>
      <w:r>
        <w:t>This policy applies to:</w:t>
      </w:r>
    </w:p>
    <w:p>
      <w:pPr>
        <w:pStyle w:val="ListBullet"/>
        <w:spacing w:after="60"/>
      </w:pPr>
      <w:r>
        <w:t>All employees, volunteers and contractors of [Organisation Name]; and</w:t>
      </w:r>
    </w:p>
    <w:p>
      <w:pPr>
        <w:pStyle w:val="ListBullet"/>
        <w:spacing w:after="60"/>
      </w:pPr>
      <w:r>
        <w:t>Any other person connected with the organisation, including donors and beneficiaries.</w:t>
      </w:r>
    </w:p>
    <w:p>
      <w:pPr>
        <w:keepNext/>
        <w:spacing w:before="200" w:after="80"/>
      </w:pPr>
      <w:r>
        <w:rPr>
          <w:rFonts w:ascii="Calibri" w:hAnsi="Calibri"/>
          <w:b/>
          <w:color w:val="1F3864"/>
          <w:sz w:val="26"/>
        </w:rPr>
        <w:t>4. Definitions</w:t>
      </w:r>
    </w:p>
    <w:p>
      <w:pPr>
        <w:pStyle w:val="ListBullet"/>
        <w:spacing w:after="60"/>
      </w:pPr>
      <w:r>
        <w:t>Whistleblower — a person who reports suspected misconduct or improper conduct.</w:t>
      </w:r>
    </w:p>
    <w:p>
      <w:pPr>
        <w:pStyle w:val="ListBullet"/>
        <w:spacing w:after="60"/>
      </w:pPr>
      <w:r>
        <w:t>Misconduct — conduct including, but not limited to, fraud, corruption, breaches of the law, harassment, and any behaviour likely to cause financial or reputational harm to the organisation.</w:t>
      </w:r>
    </w:p>
    <w:p>
      <w:pPr>
        <w:keepNext/>
        <w:spacing w:before="200" w:after="80"/>
      </w:pPr>
      <w:r>
        <w:rPr>
          <w:rFonts w:ascii="Calibri" w:hAnsi="Calibri"/>
          <w:b/>
          <w:color w:val="1F3864"/>
          <w:sz w:val="26"/>
        </w:rPr>
        <w:t>5. How to Report</w:t>
      </w:r>
    </w:p>
    <w:p>
      <w:pPr>
        <w:pStyle w:val="ListBullet"/>
        <w:spacing w:after="60"/>
      </w:pPr>
      <w:r>
        <w:t>Concerns may be raised confidentially and, where preferred, anonymously;</w:t>
      </w:r>
    </w:p>
    <w:p>
      <w:pPr>
        <w:pStyle w:val="ListBullet"/>
        <w:spacing w:after="60"/>
      </w:pPr>
      <w:r>
        <w:t>Reports should be directed to the [Whistleblower Protection Officer (WPO)] or, where available, to an independent external reporting service; and</w:t>
      </w:r>
    </w:p>
    <w:p>
      <w:pPr>
        <w:pStyle w:val="ListBullet"/>
        <w:spacing w:after="60"/>
      </w:pPr>
      <w:r>
        <w:t>Contact details for the WPO: [Contact Details].</w:t>
      </w:r>
    </w:p>
    <w:p>
      <w:pPr>
        <w:keepNext/>
        <w:spacing w:before="200" w:after="80"/>
      </w:pPr>
      <w:r>
        <w:rPr>
          <w:rFonts w:ascii="Calibri" w:hAnsi="Calibri"/>
          <w:b/>
          <w:color w:val="1F3864"/>
          <w:sz w:val="26"/>
        </w:rPr>
        <w:t>6. Managing Reports</w:t>
      </w:r>
    </w:p>
    <w:p>
      <w:pPr>
        <w:pStyle w:val="ListBullet"/>
        <w:spacing w:after="60"/>
      </w:pPr>
      <w:r>
        <w:t>The WPO will acknowledge a report within [five] business days of receiving it;</w:t>
      </w:r>
    </w:p>
    <w:p>
      <w:pPr>
        <w:pStyle w:val="ListBullet"/>
        <w:spacing w:after="60"/>
      </w:pPr>
      <w:r>
        <w:t>An initial assessment will determine whether a formal investigation is warranted; and</w:t>
      </w:r>
    </w:p>
    <w:p>
      <w:pPr>
        <w:pStyle w:val="ListBullet"/>
        <w:spacing w:after="60"/>
      </w:pPr>
      <w:r>
        <w:t>Any investigation will be carried out confidentially, impartially and without unnecessary delay.</w:t>
      </w:r>
    </w:p>
    <w:p>
      <w:pPr>
        <w:keepNext/>
        <w:spacing w:before="200" w:after="80"/>
      </w:pPr>
      <w:r>
        <w:rPr>
          <w:rFonts w:ascii="Calibri" w:hAnsi="Calibri"/>
          <w:b/>
          <w:color w:val="1F3864"/>
          <w:sz w:val="26"/>
        </w:rPr>
        <w:t>7. Record Keeping</w:t>
      </w:r>
    </w:p>
    <w:p>
      <w:pPr>
        <w:pStyle w:val="ListBullet"/>
        <w:spacing w:after="60"/>
      </w:pPr>
      <w:r>
        <w:t>All reports and related documentation will be stored securely and with restricted access;</w:t>
      </w:r>
    </w:p>
    <w:p>
      <w:pPr>
        <w:pStyle w:val="ListBullet"/>
        <w:spacing w:after="60"/>
      </w:pPr>
      <w:r>
        <w:t>Records will capture the nature of the concern, the investigation, its outcome and any action taken; and</w:t>
      </w:r>
    </w:p>
    <w:p>
      <w:pPr>
        <w:pStyle w:val="ListBullet"/>
        <w:spacing w:after="60"/>
      </w:pPr>
      <w:r>
        <w:t>Records will be retained for at least [seven] years.</w:t>
      </w:r>
    </w:p>
    <w:p>
      <w:pPr>
        <w:keepNext/>
        <w:spacing w:before="200" w:after="80"/>
      </w:pPr>
      <w:r>
        <w:rPr>
          <w:rFonts w:ascii="Calibri" w:hAnsi="Calibri"/>
          <w:b/>
          <w:color w:val="1F3864"/>
          <w:sz w:val="26"/>
        </w:rPr>
        <w:t>8. Duty to Notify</w:t>
      </w:r>
    </w:p>
    <w:p>
      <w:pPr>
        <w:pStyle w:val="ListBullet"/>
        <w:spacing w:after="60"/>
      </w:pPr>
      <w:r>
        <w:t>The WPO will keep the whistleblower informed of progress and the outcome where it is appropriate to do so; and</w:t>
      </w:r>
    </w:p>
    <w:p>
      <w:pPr>
        <w:pStyle w:val="ListBullet"/>
        <w:spacing w:after="60"/>
      </w:pPr>
      <w:r>
        <w:t>Serious matters will be escalated to the [Board of Directors] and reported to external authorities, including the ACNC, where the law requires it.</w:t>
      </w:r>
    </w:p>
    <w:p>
      <w:pPr>
        <w:keepNext/>
        <w:spacing w:before="200" w:after="80"/>
      </w:pPr>
      <w:r>
        <w:rPr>
          <w:rFonts w:ascii="Calibri" w:hAnsi="Calibri"/>
          <w:b/>
          <w:color w:val="1F3864"/>
          <w:sz w:val="26"/>
        </w:rPr>
        <w:t>9. Protection of Whistleblowers</w:t>
      </w:r>
    </w:p>
    <w:p>
      <w:pPr>
        <w:pStyle w:val="ListBullet"/>
        <w:spacing w:after="60"/>
      </w:pPr>
      <w:r>
        <w:t>Individuals who report concerns in good faith will be protected from reprisal, including dismissal, demotion, harassment or discrimination of any kind; and</w:t>
      </w:r>
    </w:p>
    <w:p>
      <w:pPr>
        <w:pStyle w:val="ListBullet"/>
        <w:spacing w:after="60"/>
      </w:pPr>
      <w:r>
        <w:t>Any act of retaliation against a whistleblower will be treated as a serious matter and may result in disciplinary action.</w:t>
      </w:r>
    </w:p>
    <w:p>
      <w:pPr>
        <w:keepNext/>
        <w:spacing w:before="200" w:after="80"/>
      </w:pPr>
      <w:r>
        <w:rPr>
          <w:rFonts w:ascii="Calibri" w:hAnsi="Calibri"/>
          <w:b/>
          <w:color w:val="1F3864"/>
          <w:sz w:val="26"/>
        </w:rPr>
        <w:t>10. Training and Awareness</w:t>
      </w:r>
    </w:p>
    <w:p>
      <w:pPr>
        <w:pStyle w:val="ListBullet"/>
        <w:spacing w:after="60"/>
      </w:pPr>
      <w:r>
        <w:t>Employees, volunteers and contractors will receive regular training on this policy and on the importance of reporting wrongdoing; and</w:t>
      </w:r>
    </w:p>
    <w:p>
      <w:pPr>
        <w:pStyle w:val="ListBullet"/>
        <w:spacing w:after="60"/>
      </w:pPr>
      <w:r>
        <w:t>The policy will be made available to stakeholders through [the organisation's website] and internal communication channels.</w:t>
      </w:r>
    </w:p>
    <w:p>
      <w:pPr>
        <w:keepNext/>
        <w:spacing w:before="200" w:after="80"/>
      </w:pPr>
      <w:r>
        <w:rPr>
          <w:rFonts w:ascii="Calibri" w:hAnsi="Calibri"/>
          <w:b/>
          <w:color w:val="1F3864"/>
          <w:sz w:val="26"/>
        </w:rPr>
        <w:t>11. Compliance and Audit</w:t>
      </w:r>
    </w:p>
    <w:p>
      <w:pPr>
        <w:pStyle w:val="ListBullet"/>
        <w:spacing w:after="60"/>
      </w:pPr>
      <w:r>
        <w:t>The [Board of Directors] will review the effectiveness of this policy at least annually; and</w:t>
      </w:r>
    </w:p>
    <w:p>
      <w:pPr>
        <w:pStyle w:val="ListBullet"/>
        <w:spacing w:after="60"/>
      </w:pPr>
      <w:r>
        <w:t>Periodic independent reviews may be undertaken to confirm compliance with this policy and applicable legislation.</w:t>
      </w:r>
    </w:p>
    <w:p>
      <w:pPr>
        <w:keepNext/>
        <w:spacing w:before="200" w:after="80"/>
      </w:pPr>
      <w:r>
        <w:rPr>
          <w:rFonts w:ascii="Calibri" w:hAnsi="Calibri"/>
          <w:b/>
          <w:color w:val="1F3864"/>
          <w:sz w:val="26"/>
        </w:rPr>
        <w:t>12. Review and Amendment</w:t>
      </w:r>
    </w:p>
    <w:p>
      <w:pPr>
        <w:pStyle w:val="ListBullet"/>
        <w:spacing w:after="60"/>
      </w:pPr>
      <w:r>
        <w:t>This policy will be reviewed each year and updated to reflect changes in legislation or the organisation's operations; and</w:t>
      </w:r>
    </w:p>
    <w:p>
      <w:pPr>
        <w:pStyle w:val="ListBullet"/>
        <w:spacing w:after="60"/>
      </w:pPr>
      <w:r>
        <w:t>Any amendments must be approved by the [Board of Directors].</w:t>
      </w:r>
    </w:p>
    <w:p>
      <w:r>
        <w:rPr>
          <w:rFonts w:ascii="Calibri" w:hAnsi="Calibri"/>
          <w:i/>
          <w:color w:val="595959"/>
          <w:sz w:val="20"/>
        </w:rPr>
        <w:t>Whistleblower Protection Officer: [Name], [Email], [Phone]. Independent reporting service (if applicable): [Contact Details]. Approved by the Board of Directors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Whistleblowing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