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EMERGENCY FINANCIAL PROCEDURES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Emergency Financial Procedures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procedures for financial management and legal compliance during emergencies at [Organisation Name], ensuring continuity of operations, safeguarding of assets and regulatory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directors involved in financial management, permits and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Emergency — any unexpected event significantly disrupting operations, such as a natural disaster, cyber-attack or financial crisis;</w:t>
      </w:r>
    </w:p>
    <w:p>
      <w:pPr>
        <w:pStyle w:val="ListBullet"/>
        <w:spacing w:after="60"/>
      </w:pPr>
      <w:r>
        <w:t>Financial Procedures — processes for managing funds, including budgeting, spending and reporting; and</w:t>
      </w:r>
    </w:p>
    <w:p>
      <w:pPr>
        <w:pStyle w:val="ListBullet"/>
        <w:spacing w:after="60"/>
      </w:pPr>
      <w:r>
        <w:t>Permits and Legal Compliance — adherence to legal requirements and necessary permits.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Board — governance and oversight;</w:t>
      </w:r>
    </w:p>
    <w:p>
      <w:pPr>
        <w:pStyle w:val="ListBullet"/>
        <w:spacing w:after="60"/>
      </w:pPr>
      <w:r>
        <w:t>Executive Director/CEO — implements and manages emergency financial procedures;</w:t>
      </w:r>
    </w:p>
    <w:p>
      <w:pPr>
        <w:pStyle w:val="ListBullet"/>
        <w:spacing w:after="60"/>
      </w:pPr>
      <w:r>
        <w:t>Finance Manager — manages day-to-day financial operations during emergencies;</w:t>
      </w:r>
    </w:p>
    <w:p>
      <w:pPr>
        <w:pStyle w:val="ListBullet"/>
        <w:spacing w:after="60"/>
      </w:pPr>
      <w:r>
        <w:t>IT Manager — secures and maintains financial systems; and</w:t>
      </w:r>
    </w:p>
    <w:p>
      <w:pPr>
        <w:pStyle w:val="ListBullet"/>
        <w:spacing w:after="60"/>
      </w:pPr>
      <w:r>
        <w:t>Legal Advisor — guides compliance and legal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Emergency Preparedness</w:t>
      </w:r>
    </w:p>
    <w:p>
      <w:pPr>
        <w:pStyle w:val="ListBullet"/>
        <w:spacing w:after="60"/>
      </w:pPr>
      <w:r>
        <w:t>conduct regular risk assessments;</w:t>
      </w:r>
    </w:p>
    <w:p>
      <w:pPr>
        <w:pStyle w:val="ListBullet"/>
        <w:spacing w:after="60"/>
      </w:pPr>
      <w:r>
        <w:t>provide regular emergency-procedure training; and</w:t>
      </w:r>
    </w:p>
    <w:p>
      <w:pPr>
        <w:pStyle w:val="ListBullet"/>
        <w:spacing w:after="60"/>
      </w:pPr>
      <w:r>
        <w:t>maintain a clear communication plan for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Financial Procedures</w:t>
      </w:r>
    </w:p>
    <w:p>
      <w:pPr>
        <w:pStyle w:val="ListBullet"/>
        <w:spacing w:after="60"/>
      </w:pPr>
      <w:r>
        <w:t>Access to funds — ensure emergency access to cash reserves and credit lines and identify authorised personnel;</w:t>
      </w:r>
    </w:p>
    <w:p>
      <w:pPr>
        <w:pStyle w:val="ListBullet"/>
        <w:spacing w:after="60"/>
      </w:pPr>
      <w:r>
        <w:t>Expense management — prioritise essential expenses with a fast-track approval process;</w:t>
      </w:r>
    </w:p>
    <w:p>
      <w:pPr>
        <w:pStyle w:val="ListBullet"/>
        <w:spacing w:after="60"/>
      </w:pPr>
      <w:r>
        <w:t>Reporting — maintain accurate records and update the Board and stakeholders; and</w:t>
      </w:r>
    </w:p>
    <w:p>
      <w:pPr>
        <w:pStyle w:val="ListBullet"/>
        <w:spacing w:after="60"/>
      </w:pPr>
      <w:r>
        <w:t>Insurance — maintain and regularly review comprehensive cover.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Systems and Data Security</w:t>
      </w:r>
    </w:p>
    <w:p>
      <w:pPr>
        <w:pStyle w:val="ListBullet"/>
        <w:spacing w:after="60"/>
      </w:pPr>
      <w:r>
        <w:t>implement regular, off-site data backups and test recovery;</w:t>
      </w:r>
    </w:p>
    <w:p>
      <w:pPr>
        <w:pStyle w:val="ListBullet"/>
        <w:spacing w:after="60"/>
      </w:pPr>
      <w:r>
        <w:t>maintain robust cybersecurity and secure remote access; and</w:t>
      </w:r>
    </w:p>
    <w:p>
      <w:pPr>
        <w:pStyle w:val="ListBullet"/>
        <w:spacing w:after="60"/>
      </w:pPr>
      <w:r>
        <w:t>ensure IT support is available, with current provider contacts.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Permits, Communication and Review</w:t>
      </w:r>
    </w:p>
    <w:p>
      <w:pPr>
        <w:pStyle w:val="ListBullet"/>
        <w:spacing w:after="60"/>
      </w:pPr>
      <w:r>
        <w:t>keep a record of permits and legal requirements, ensure timely renewals and identify any emergency permits;</w:t>
      </w:r>
    </w:p>
    <w:p>
      <w:pPr>
        <w:pStyle w:val="ListBullet"/>
        <w:spacing w:after="60"/>
      </w:pPr>
      <w:r>
        <w:t>maintain clear internal and external communication across multiple channels; and</w:t>
      </w:r>
    </w:p>
    <w:p>
      <w:pPr>
        <w:pStyle w:val="ListBullet"/>
        <w:spacing w:after="60"/>
      </w:pPr>
      <w:r>
        <w:t>review this policy annually and update it based on lessons learned.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Emergency Financial Procedures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