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EMERGENCY FINANCIAL RESPONSE TEAM (EFRT)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Emergency Financial Response Team (EFRT)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an Emergency Financial Response Team (EFRT) at [Organisation Name] to manage financial emergencies effectively, ensuring continuity of operations and compliance with legal and regulatory requirements.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staff, volunteers and directors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Financial Emergency — any situation significantly threatening financial stability, including fraud, unexpected major expenses or significant funding shortfalls; and</w:t>
      </w:r>
    </w:p>
    <w:p>
      <w:pPr>
        <w:pStyle w:val="ListBullet"/>
        <w:spacing w:after="60"/>
      </w:pPr>
      <w:r>
        <w:t>EFRT — the team responsible for managing the financial emergency response.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Team Composition</w:t>
      </w:r>
    </w:p>
    <w:p>
      <w:pPr>
        <w:pStyle w:val="ListBullet"/>
        <w:spacing w:after="60"/>
      </w:pPr>
      <w:r>
        <w:t>Team Leader — the CFO or equivalent;</w:t>
      </w:r>
    </w:p>
    <w:p>
      <w:pPr>
        <w:pStyle w:val="ListBullet"/>
        <w:spacing w:after="60"/>
      </w:pPr>
      <w:r>
        <w:t>Legal Advisor — internal or external counsel;</w:t>
      </w:r>
    </w:p>
    <w:p>
      <w:pPr>
        <w:pStyle w:val="ListBullet"/>
        <w:spacing w:after="60"/>
      </w:pPr>
      <w:r>
        <w:t>Compliance Officer;</w:t>
      </w:r>
    </w:p>
    <w:p>
      <w:pPr>
        <w:pStyle w:val="ListBullet"/>
        <w:spacing w:after="60"/>
      </w:pPr>
      <w:r>
        <w:t>Operations Manager;</w:t>
      </w:r>
    </w:p>
    <w:p>
      <w:pPr>
        <w:pStyle w:val="ListBullet"/>
        <w:spacing w:after="60"/>
      </w:pPr>
      <w:r>
        <w:t>Communications Officer; and</w:t>
      </w:r>
    </w:p>
    <w:p>
      <w:pPr>
        <w:pStyle w:val="ListBullet"/>
        <w:spacing w:after="60"/>
      </w:pPr>
      <w:r>
        <w:t>Board Representative.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Roles and Responsibilities</w:t>
      </w:r>
    </w:p>
    <w:p>
      <w:pPr>
        <w:pStyle w:val="ListBullet"/>
        <w:spacing w:after="60"/>
      </w:pPr>
      <w:r>
        <w:t>Team Leader — coordinates the response, approves financial actions and reports to the Board;</w:t>
      </w:r>
    </w:p>
    <w:p>
      <w:pPr>
        <w:pStyle w:val="ListBullet"/>
        <w:spacing w:after="60"/>
      </w:pPr>
      <w:r>
        <w:t>Legal Advisor — ensures legal and regulatory compliance;</w:t>
      </w:r>
    </w:p>
    <w:p>
      <w:pPr>
        <w:pStyle w:val="ListBullet"/>
        <w:spacing w:after="60"/>
      </w:pPr>
      <w:r>
        <w:t>Compliance Officer — monitors adherence and conducts audits;</w:t>
      </w:r>
    </w:p>
    <w:p>
      <w:pPr>
        <w:pStyle w:val="ListBullet"/>
        <w:spacing w:after="60"/>
      </w:pPr>
      <w:r>
        <w:t>Operations Manager — maintains essential operations;</w:t>
      </w:r>
    </w:p>
    <w:p>
      <w:pPr>
        <w:pStyle w:val="ListBullet"/>
        <w:spacing w:after="60"/>
      </w:pPr>
      <w:r>
        <w:t>Communications Officer — manages internal and external communication; and</w:t>
      </w:r>
    </w:p>
    <w:p>
      <w:pPr>
        <w:pStyle w:val="ListBullet"/>
        <w:spacing w:after="60"/>
      </w:pPr>
      <w:r>
        <w:t>Board Representative — provides oversight and liaises with the Board.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Activation and Action Plan</w:t>
      </w:r>
    </w:p>
    <w:p>
      <w:pPr>
        <w:pStyle w:val="ListBullet"/>
        <w:spacing w:after="60"/>
      </w:pPr>
      <w:r>
        <w:t>the EFRT is activated by the Team Leader or any two members on identifying an emergency, with immediate notification and an assessment meeting within 24 hours; and</w:t>
      </w:r>
    </w:p>
    <w:p>
      <w:pPr>
        <w:pStyle w:val="ListBullet"/>
        <w:spacing w:after="60"/>
      </w:pPr>
      <w:r>
        <w:t>the action plan covers assessment of scope and impact, stakeholder communication, immediate stabilising measures, and ongoing monitoring.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Legal, Training and Communication</w:t>
      </w:r>
    </w:p>
    <w:p>
      <w:pPr>
        <w:pStyle w:val="ListBullet"/>
        <w:spacing w:after="60"/>
      </w:pPr>
      <w:r>
        <w:t>ensure all actions comply with Australian law, obtain necessary permits promptly and document decisions;</w:t>
      </w:r>
    </w:p>
    <w:p>
      <w:pPr>
        <w:pStyle w:val="ListBullet"/>
        <w:spacing w:after="60"/>
      </w:pPr>
      <w:r>
        <w:t>provide regular training and annual emergency response drills; and</w:t>
      </w:r>
    </w:p>
    <w:p>
      <w:pPr>
        <w:pStyle w:val="ListBullet"/>
        <w:spacing w:after="60"/>
      </w:pPr>
      <w:r>
        <w:t>maintain transparent internal and external communication, with a designated media spokesperson.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Records and Review</w:t>
      </w:r>
    </w:p>
    <w:p>
      <w:pPr>
        <w:jc w:val="both"/>
      </w:pPr>
      <w:r>
        <w:t>Maintain detailed records of meetings, decisions and actions, conduct a post-incident review after each activation, and review this policy annually.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Emergency Financial Response Team (EFRT)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