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EMERGENCY FINANCIAL SITUATIONS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Emergency Financial Situations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procedures for [Organisation Name] to respond to emergency financial situations affecting systems, permits and legal matters, so the organisation can continue operating and meet its legal obligations during a financial emergency.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 and directors of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Emergency Financial Situation — a sudden, unforeseen financial challenge threatening the organisation's operation or legal standing;</w:t>
      </w:r>
    </w:p>
    <w:p>
      <w:pPr>
        <w:pStyle w:val="ListBullet"/>
        <w:spacing w:after="60"/>
      </w:pPr>
      <w:r>
        <w:t>Systems — IT infrastructure, software and operational systems critical to functions;</w:t>
      </w:r>
    </w:p>
    <w:p>
      <w:pPr>
        <w:pStyle w:val="ListBullet"/>
        <w:spacing w:after="60"/>
      </w:pPr>
      <w:r>
        <w:t>Permits — licences, approvals and permits required to operate legally; and</w:t>
      </w:r>
    </w:p>
    <w:p>
      <w:pPr>
        <w:pStyle w:val="ListBullet"/>
        <w:spacing w:after="60"/>
      </w:pPr>
      <w:r>
        <w:t>Legal Matters — obligations under laws, regulations and contracts.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Emergency Fund</w:t>
      </w:r>
    </w:p>
    <w:p>
      <w:pPr>
        <w:pStyle w:val="ListBullet"/>
        <w:spacing w:after="60"/>
      </w:pPr>
      <w:r>
        <w:t>maintain an emergency fund for financial emergencies related to systems, permits and legal matters;</w:t>
      </w:r>
    </w:p>
    <w:p>
      <w:pPr>
        <w:pStyle w:val="ListBullet"/>
        <w:spacing w:after="60"/>
      </w:pPr>
      <w:r>
        <w:t>size the fund at around three months of average monthly expenses; and</w:t>
      </w:r>
    </w:p>
    <w:p>
      <w:pPr>
        <w:pStyle w:val="ListBullet"/>
        <w:spacing w:after="60"/>
      </w:pPr>
      <w:r>
        <w:t>limit authorisation of its use to the CEO, CFO and Board Chair.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Risk Assessment and Response Team</w:t>
      </w:r>
    </w:p>
    <w:p>
      <w:pPr>
        <w:pStyle w:val="ListBullet"/>
        <w:spacing w:after="60"/>
      </w:pPr>
      <w:r>
        <w:t>conduct regular assessments of financial risks and monitor financial status and compliance; and</w:t>
      </w:r>
    </w:p>
    <w:p>
      <w:pPr>
        <w:pStyle w:val="ListBullet"/>
        <w:spacing w:after="60"/>
      </w:pPr>
      <w:r>
        <w:t>establish an Emergency Response Team (ERT) of key staff from finance, legal, IT and operations to implement procedures and coordinate the response.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Emergency Financial Procedures</w:t>
      </w:r>
    </w:p>
    <w:p>
      <w:pPr>
        <w:pStyle w:val="ListBullet"/>
        <w:spacing w:after="60"/>
      </w:pPr>
      <w:r>
        <w:t>the ERT assesses the situation and recommends activating the emergency fund if needed; and</w:t>
      </w:r>
    </w:p>
    <w:p>
      <w:pPr>
        <w:pStyle w:val="ListBullet"/>
        <w:spacing w:after="60"/>
      </w:pPr>
      <w:r>
        <w:t>all expenditure from the fund requires approval by at least two authorised personnel.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Communication, Systems and Compliance</w:t>
      </w:r>
    </w:p>
    <w:p>
      <w:pPr>
        <w:pStyle w:val="ListBullet"/>
        <w:spacing w:after="60"/>
      </w:pPr>
      <w:r>
        <w:t>inform staff and volunteers internally and notify stakeholders and regulators as appropriate;</w:t>
      </w:r>
    </w:p>
    <w:p>
      <w:pPr>
        <w:pStyle w:val="ListBullet"/>
        <w:spacing w:after="60"/>
      </w:pPr>
      <w:r>
        <w:t>maintain backup systems and IT support contracts for critical infrastructure; and</w:t>
      </w:r>
    </w:p>
    <w:p>
      <w:pPr>
        <w:pStyle w:val="ListBullet"/>
        <w:spacing w:after="60"/>
      </w:pPr>
      <w:r>
        <w:t>track permit renewals to prevent lapses and maintain access to legal counsel.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Documentation and Review</w:t>
      </w:r>
    </w:p>
    <w:p>
      <w:pPr>
        <w:jc w:val="both"/>
      </w:pPr>
      <w:r>
        <w:t>Keep detailed records of emergency-fund expenditure and incident reports, conduct a post-incident review after any emergency, and review this policy annually.</w:t>
      </w:r>
    </w:p>
    <w:p>
      <w:r>
        <w:rPr>
          <w:rFonts w:ascii="Calibri" w:hAnsi="Calibri"/>
          <w:i/>
          <w:color w:val="595959"/>
          <w:sz w:val="20"/>
        </w:rPr>
        <w:t>Approved by the Board on [Date]. Emergency Response Team Leader: [Name, Position, Contact].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Emergency Financial Situations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