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PRIVACY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Privacy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respects the privacy of every individual whose personal information it handles and is dedicated to protecting that information at all times. This policy sets out how the organisation gathers, uses, stores and safeguards personal information, and reflects its commitment to meeting its obligations under the Privacy Act 1988 (Cth) and the Australian Privacy Principles (APPs).</w:t>
      </w:r>
    </w:p>
    <w:p>
      <w:pPr>
        <w:keepNext/>
        <w:spacing w:before="200" w:after="80"/>
      </w:pPr>
      <w:r>
        <w:rPr>
          <w:rFonts w:ascii="Calibri" w:hAnsi="Calibri"/>
          <w:b/>
          <w:color w:val="1F3864"/>
          <w:sz w:val="26"/>
        </w:rPr>
        <w:t>2. Purpose</w:t>
      </w:r>
    </w:p>
    <w:p>
      <w:pPr>
        <w:jc w:val="both"/>
      </w:pPr>
      <w:r>
        <w:t>This policy has been developed to:</w:t>
      </w:r>
    </w:p>
    <w:p>
      <w:pPr>
        <w:pStyle w:val="ListBullet"/>
        <w:spacing w:after="60"/>
      </w:pPr>
      <w:r>
        <w:t>Set clear expectations for how personal information is collected, used, shared and maintained across the organisation;</w:t>
      </w:r>
    </w:p>
    <w:p>
      <w:pPr>
        <w:pStyle w:val="ListBullet"/>
        <w:spacing w:after="60"/>
      </w:pPr>
      <w:r>
        <w:t>Confirm the organisation's compliance with applicable privacy legislation and regulatory guidance; and</w:t>
      </w:r>
    </w:p>
    <w:p>
      <w:pPr>
        <w:pStyle w:val="ListBullet"/>
        <w:spacing w:after="60"/>
      </w:pPr>
      <w:r>
        <w:t>Protect the privacy of everyone connected with the organisation, including donors, volunteers, staff, contractors and the people it serves.</w:t>
      </w:r>
    </w:p>
    <w:p>
      <w:pPr>
        <w:keepNext/>
        <w:spacing w:before="200" w:after="80"/>
      </w:pPr>
      <w:r>
        <w:rPr>
          <w:rFonts w:ascii="Calibri" w:hAnsi="Calibri"/>
          <w:b/>
          <w:color w:val="1F3864"/>
          <w:sz w:val="26"/>
        </w:rPr>
        <w:t>3. Scope</w:t>
      </w:r>
    </w:p>
    <w:p>
      <w:pPr>
        <w:jc w:val="both"/>
      </w:pPr>
      <w:r>
        <w:t>This policy applies to all staff, contractors, volunteers, partners and any other party who collects, accesses, uses or manages personal information for, or on behalf of, [Organisation Name].</w:t>
      </w:r>
    </w:p>
    <w:p>
      <w:pPr>
        <w:keepNext/>
        <w:spacing w:before="200" w:after="80"/>
      </w:pPr>
      <w:r>
        <w:rPr>
          <w:rFonts w:ascii="Calibri" w:hAnsi="Calibri"/>
          <w:b/>
          <w:color w:val="1F3864"/>
          <w:sz w:val="26"/>
        </w:rPr>
        <w:t>4. Definitions</w:t>
      </w:r>
    </w:p>
    <w:p>
      <w:pPr>
        <w:pStyle w:val="ListBullet"/>
        <w:spacing w:after="60"/>
      </w:pPr>
      <w:r>
        <w:t>Personal Information — any information or opinion about an identified individual, or an individual who can reasonably be identified, whether or not it is true and whether or not it is recorded in a tangible form.</w:t>
      </w:r>
    </w:p>
    <w:p>
      <w:pPr>
        <w:pStyle w:val="ListBullet"/>
        <w:spacing w:after="60"/>
      </w:pPr>
      <w:r>
        <w:t>Sensitive Information — a category of personal information covering matters such as health, racial or ethnic background, religious or political views, and sexual orientation, which attracts a higher level of protection.</w:t>
      </w:r>
    </w:p>
    <w:p>
      <w:pPr>
        <w:pStyle w:val="ListBullet"/>
        <w:spacing w:after="60"/>
      </w:pPr>
      <w:r>
        <w:t>Data Breach — any unauthorised access to, or disclosure or loss of, personal information that may cause harm to the individuals concerned.</w:t>
      </w:r>
    </w:p>
    <w:p>
      <w:pPr>
        <w:keepNext/>
        <w:spacing w:before="200" w:after="80"/>
      </w:pPr>
      <w:r>
        <w:rPr>
          <w:rFonts w:ascii="Calibri" w:hAnsi="Calibri"/>
          <w:b/>
          <w:color w:val="1F3864"/>
          <w:sz w:val="26"/>
        </w:rPr>
        <w:t>5. Collection of Personal Information</w:t>
      </w:r>
    </w:p>
    <w:p>
      <w:pPr>
        <w:jc w:val="both"/>
      </w:pPr>
      <w:r>
        <w:t>[Organisation Name] will collect only the personal information that is reasonably required to carry out its activities. This may include:</w:t>
      </w:r>
    </w:p>
    <w:p>
      <w:pPr>
        <w:pStyle w:val="ListBullet"/>
        <w:spacing w:after="60"/>
      </w:pPr>
      <w:r>
        <w:t>Contact details for donors, beneficiaries, employees, volunteers and partners;</w:t>
      </w:r>
    </w:p>
    <w:p>
      <w:pPr>
        <w:pStyle w:val="ListBullet"/>
        <w:spacing w:after="60"/>
      </w:pPr>
      <w:r>
        <w:t>Financial details associated with donations or payments; and</w:t>
      </w:r>
    </w:p>
    <w:p>
      <w:pPr>
        <w:pStyle w:val="ListBullet"/>
        <w:spacing w:after="60"/>
      </w:pPr>
      <w:r>
        <w:t>Other relevant information needed to meet the organisation's operational and legal responsibilities.</w:t>
      </w:r>
    </w:p>
    <w:p>
      <w:pPr>
        <w:keepNext/>
        <w:spacing w:before="200" w:after="80"/>
      </w:pPr>
      <w:r>
        <w:rPr>
          <w:rFonts w:ascii="Calibri" w:hAnsi="Calibri"/>
          <w:b/>
          <w:color w:val="1F3864"/>
          <w:sz w:val="26"/>
        </w:rPr>
        <w:t>6. Use of Personal Information</w:t>
      </w:r>
    </w:p>
    <w:p>
      <w:pPr>
        <w:jc w:val="both"/>
      </w:pPr>
      <w:r>
        <w:t>Personal information may be used for purposes that include:</w:t>
      </w:r>
    </w:p>
    <w:p>
      <w:pPr>
        <w:pStyle w:val="ListBullet"/>
        <w:spacing w:after="60"/>
      </w:pPr>
      <w:r>
        <w:t>Communicating with donors, beneficiaries and other stakeholders;</w:t>
      </w:r>
    </w:p>
    <w:p>
      <w:pPr>
        <w:pStyle w:val="ListBullet"/>
        <w:spacing w:after="60"/>
      </w:pPr>
      <w:r>
        <w:t>Processing donations and other financial transactions;</w:t>
      </w:r>
    </w:p>
    <w:p>
      <w:pPr>
        <w:pStyle w:val="ListBullet"/>
        <w:spacing w:after="60"/>
      </w:pPr>
      <w:r>
        <w:t>Meeting legal, regulatory and reporting obligations; and</w:t>
      </w:r>
    </w:p>
    <w:p>
      <w:pPr>
        <w:pStyle w:val="ListBullet"/>
        <w:spacing w:after="60"/>
      </w:pPr>
      <w:r>
        <w:t>Enhancing the organisation's services and fundraising activities.</w:t>
      </w:r>
    </w:p>
    <w:p>
      <w:pPr>
        <w:keepNext/>
        <w:spacing w:before="200" w:after="80"/>
      </w:pPr>
      <w:r>
        <w:rPr>
          <w:rFonts w:ascii="Calibri" w:hAnsi="Calibri"/>
          <w:b/>
          <w:color w:val="1F3864"/>
          <w:sz w:val="26"/>
        </w:rPr>
        <w:t>7. Disclosure of Personal Information</w:t>
      </w:r>
    </w:p>
    <w:p>
      <w:pPr>
        <w:jc w:val="both"/>
      </w:pPr>
      <w:r>
        <w:t>Personal information may be disclosed to:</w:t>
      </w:r>
    </w:p>
    <w:p>
      <w:pPr>
        <w:pStyle w:val="ListBullet"/>
        <w:spacing w:after="60"/>
      </w:pPr>
      <w:r>
        <w:t>Government bodies, regulators or auditors where the law requires it;</w:t>
      </w:r>
    </w:p>
    <w:p>
      <w:pPr>
        <w:pStyle w:val="ListBullet"/>
        <w:spacing w:after="60"/>
      </w:pPr>
      <w:r>
        <w:t>Trusted third-party service providers (for example, IT, cloud hosting or payment processing) who are bound by confidentiality and privacy obligations; and</w:t>
      </w:r>
    </w:p>
    <w:p>
      <w:pPr>
        <w:pStyle w:val="ListBullet"/>
        <w:spacing w:after="60"/>
      </w:pPr>
      <w:r>
        <w:t>Other parties where the individual has given clear consent.</w:t>
      </w:r>
    </w:p>
    <w:p>
      <w:pPr>
        <w:jc w:val="both"/>
      </w:pPr>
      <w:r>
        <w:t>[Organisation Name] does not sell, rent or trade personal information to any third party.</w:t>
      </w:r>
    </w:p>
    <w:p>
      <w:pPr>
        <w:keepNext/>
        <w:spacing w:before="200" w:after="80"/>
      </w:pPr>
      <w:r>
        <w:rPr>
          <w:rFonts w:ascii="Calibri" w:hAnsi="Calibri"/>
          <w:b/>
          <w:color w:val="1F3864"/>
          <w:sz w:val="26"/>
        </w:rPr>
        <w:t>8. Security of Personal Information</w:t>
      </w:r>
    </w:p>
    <w:p>
      <w:pPr>
        <w:jc w:val="both"/>
      </w:pPr>
      <w:r>
        <w:t>The organisation takes reasonable steps to protect personal information against loss, misuse, unauthorised access, alteration or disclosure. These measures include:</w:t>
      </w:r>
    </w:p>
    <w:p>
      <w:pPr>
        <w:pStyle w:val="ListBullet"/>
        <w:spacing w:after="60"/>
      </w:pPr>
      <w:r>
        <w:t>Physical security controls over premises and paper records;</w:t>
      </w:r>
    </w:p>
    <w:p>
      <w:pPr>
        <w:pStyle w:val="ListBullet"/>
        <w:spacing w:after="60"/>
      </w:pPr>
      <w:r>
        <w:t>Protected electronic storage, including measures such as encryption and password control; and</w:t>
      </w:r>
    </w:p>
    <w:p>
      <w:pPr>
        <w:pStyle w:val="ListBullet"/>
        <w:spacing w:after="60"/>
      </w:pPr>
      <w:r>
        <w:t>Periodic review of data-handling and security practices.</w:t>
      </w:r>
    </w:p>
    <w:p>
      <w:pPr>
        <w:keepNext/>
        <w:spacing w:before="200" w:after="80"/>
      </w:pPr>
      <w:r>
        <w:rPr>
          <w:rFonts w:ascii="Calibri" w:hAnsi="Calibri"/>
          <w:b/>
          <w:color w:val="1F3864"/>
          <w:sz w:val="26"/>
        </w:rPr>
        <w:t>9. Access and Correction</w:t>
      </w:r>
    </w:p>
    <w:p>
      <w:pPr>
        <w:jc w:val="both"/>
      </w:pPr>
      <w:r>
        <w:t>Individuals are entitled to:</w:t>
      </w:r>
    </w:p>
    <w:p>
      <w:pPr>
        <w:pStyle w:val="ListBullet"/>
        <w:spacing w:after="60"/>
      </w:pPr>
      <w:r>
        <w:t>Request access to the personal information the organisation holds about them; and</w:t>
      </w:r>
    </w:p>
    <w:p>
      <w:pPr>
        <w:pStyle w:val="ListBullet"/>
        <w:spacing w:after="60"/>
      </w:pPr>
      <w:r>
        <w:t>Ask for that information to be corrected where it is inaccurate, incomplete or out of date.</w:t>
      </w:r>
    </w:p>
    <w:p>
      <w:pPr>
        <w:jc w:val="both"/>
      </w:pPr>
      <w:r>
        <w:t>Requests should be made in writing to the [Privacy Officer]. The organisation will respond within a reasonable period.</w:t>
      </w:r>
    </w:p>
    <w:p>
      <w:pPr>
        <w:keepNext/>
        <w:spacing w:before="200" w:after="80"/>
      </w:pPr>
      <w:r>
        <w:rPr>
          <w:rFonts w:ascii="Calibri" w:hAnsi="Calibri"/>
          <w:b/>
          <w:color w:val="1F3864"/>
          <w:sz w:val="26"/>
        </w:rPr>
        <w:t>10. Retention and Disposal</w:t>
      </w:r>
    </w:p>
    <w:p>
      <w:pPr>
        <w:jc w:val="both"/>
      </w:pPr>
      <w:r>
        <w:t>Personal information is kept only for as long as it is needed for the purpose for which it was collected, or for as long as the law requires. When it is no longer required, it will be securely destroyed or permanently de-identified.</w:t>
      </w:r>
    </w:p>
    <w:p>
      <w:pPr>
        <w:keepNext/>
        <w:spacing w:before="200" w:after="80"/>
      </w:pPr>
      <w:r>
        <w:rPr>
          <w:rFonts w:ascii="Calibri" w:hAnsi="Calibri"/>
          <w:b/>
          <w:color w:val="1F3864"/>
          <w:sz w:val="26"/>
        </w:rPr>
        <w:t>11. Complaints and Enquiries</w:t>
      </w:r>
    </w:p>
    <w:p>
      <w:pPr>
        <w:jc w:val="both"/>
      </w:pPr>
      <w:r>
        <w:t>Anyone with concerns about how their personal information has been handled may contact the [Privacy Officer]. Complaints will be dealt with promptly and transparently in line with the organisation's complaints-handling process.</w:t>
      </w:r>
    </w:p>
    <w:p>
      <w:pPr>
        <w:keepNext/>
        <w:spacing w:before="200" w:after="80"/>
      </w:pPr>
      <w:r>
        <w:rPr>
          <w:rFonts w:ascii="Calibri" w:hAnsi="Calibri"/>
          <w:b/>
          <w:color w:val="1F3864"/>
          <w:sz w:val="26"/>
        </w:rPr>
        <w:t>12. Data Breach Response</w:t>
      </w:r>
    </w:p>
    <w:p>
      <w:pPr>
        <w:jc w:val="both"/>
      </w:pPr>
      <w:r>
        <w:t>If a data breach occurs, [Organisation Name] will:</w:t>
      </w:r>
    </w:p>
    <w:p>
      <w:pPr>
        <w:pStyle w:val="ListBullet"/>
        <w:spacing w:after="60"/>
      </w:pPr>
      <w:r>
        <w:t>Act quickly to contain the breach;</w:t>
      </w:r>
    </w:p>
    <w:p>
      <w:pPr>
        <w:pStyle w:val="ListBullet"/>
        <w:spacing w:after="60"/>
      </w:pPr>
      <w:r>
        <w:t>Assess its nature, scope and likely impact;</w:t>
      </w:r>
    </w:p>
    <w:p>
      <w:pPr>
        <w:pStyle w:val="ListBullet"/>
        <w:spacing w:after="60"/>
      </w:pPr>
      <w:r>
        <w:t>Notify affected individuals and the Office of the Australian Information Commissioner (OAIC) where required under the Notifiable Data Breaches scheme; and</w:t>
      </w:r>
    </w:p>
    <w:p>
      <w:pPr>
        <w:pStyle w:val="ListBullet"/>
        <w:spacing w:after="60"/>
      </w:pPr>
      <w:r>
        <w:t>Put measures in place to reduce the risk of a recurrence.</w:t>
      </w:r>
    </w:p>
    <w:p>
      <w:pPr>
        <w:keepNext/>
        <w:spacing w:before="200" w:after="80"/>
      </w:pPr>
      <w:r>
        <w:rPr>
          <w:rFonts w:ascii="Calibri" w:hAnsi="Calibri"/>
          <w:b/>
          <w:color w:val="1F3864"/>
          <w:sz w:val="26"/>
        </w:rPr>
        <w:t>13. Training and Awareness</w:t>
      </w:r>
    </w:p>
    <w:p>
      <w:pPr>
        <w:jc w:val="both"/>
      </w:pPr>
      <w:r>
        <w:t>Staff, volunteers and relevant third parties will be given guidance and training on their privacy responsibilities so that the requirements of this policy are understood and met.</w:t>
      </w:r>
    </w:p>
    <w:p>
      <w:pPr>
        <w:keepNext/>
        <w:spacing w:before="200" w:after="80"/>
      </w:pPr>
      <w:r>
        <w:rPr>
          <w:rFonts w:ascii="Calibri" w:hAnsi="Calibri"/>
          <w:b/>
          <w:color w:val="1F3864"/>
          <w:sz w:val="26"/>
        </w:rPr>
        <w:t>14. Review</w:t>
      </w:r>
    </w:p>
    <w:p>
      <w:pPr>
        <w:jc w:val="both"/>
      </w:pPr>
      <w:r>
        <w:t>This policy will be reviewed at least annually, or sooner if needed, to keep it aligned with current legislation and good practice.</w:t>
      </w:r>
    </w:p>
    <w:p>
      <w:r>
        <w:rPr>
          <w:rFonts w:ascii="Calibri" w:hAnsi="Calibri"/>
          <w:i/>
          <w:color w:val="595959"/>
          <w:sz w:val="20"/>
        </w:rPr>
        <w:t>Privacy enquiries: [Privacy Officer] — [Contact Details]. This policy takes effect from [Date] and is subject to periodic review.</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Privacy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