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CONFLICT OF INTEREST POLICY (STAFF AND VOLUNTEERS)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Conflict of Interest Policy (Staff and Volunteers)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safeguards the integrity of decision-making at [Organisation Name], maintains stakeholder confidence in the organisation, and protects the reputation of its staff and volunteers.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 and volunteers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What is a Conflict of Interest</w:t>
      </w:r>
    </w:p>
    <w:p>
      <w:pPr>
        <w:jc w:val="both"/>
      </w:pPr>
      <w:r>
        <w:t>A conflict of interest exists where a staff member or volunteer has a personal interest — direct or indirect — that could reasonably be seen to influence how they carry out their duties for the organisation. Examples include:</w:t>
      </w:r>
    </w:p>
    <w:p>
      <w:pPr>
        <w:pStyle w:val="ListBullet"/>
        <w:spacing w:after="60"/>
      </w:pPr>
      <w:r>
        <w:t>a financial interest in a supplier, contractor or competitor;</w:t>
      </w:r>
    </w:p>
    <w:p>
      <w:pPr>
        <w:pStyle w:val="ListBullet"/>
        <w:spacing w:after="60"/>
      </w:pPr>
      <w:r>
        <w:t>a personal relationship with an individual or entity the organisation deals with; and</w:t>
      </w:r>
    </w:p>
    <w:p>
      <w:pPr>
        <w:pStyle w:val="ListBullet"/>
        <w:spacing w:after="60"/>
      </w:pPr>
      <w:r>
        <w:t>accepting gifts, benefits or hospitality that could influence, or appear to influence, a decision.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Disclosure</w:t>
      </w:r>
    </w:p>
    <w:p>
      <w:pPr>
        <w:jc w:val="both"/>
      </w:pPr>
      <w:r>
        <w:t>Staff and volunteers must disclose any actual or potential conflict of interest as soon as it arises, by:</w:t>
      </w:r>
    </w:p>
    <w:p>
      <w:pPr>
        <w:pStyle w:val="ListBullet"/>
        <w:spacing w:after="60"/>
      </w:pPr>
      <w:r>
        <w:t>completing a Conflict of Interest Disclosure Form; or</w:t>
      </w:r>
    </w:p>
    <w:p>
      <w:pPr>
        <w:pStyle w:val="ListBullet"/>
        <w:spacing w:after="60"/>
      </w:pPr>
      <w:r>
        <w:t>reporting directly to their immediate supervisor or the designated [Conflict of Interest Officer].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Managing a Conflict</w:t>
      </w:r>
    </w:p>
    <w:p>
      <w:pPr>
        <w:jc w:val="both"/>
      </w:pPr>
      <w:r>
        <w:t>Once disclosed, a conflict is managed as follows:</w:t>
      </w:r>
    </w:p>
    <w:p>
      <w:pPr>
        <w:pStyle w:val="ListBullet"/>
        <w:spacing w:after="60"/>
      </w:pPr>
      <w:r>
        <w:t>Assessment — the designated officer assesses the nature and extent of the conflict;</w:t>
      </w:r>
    </w:p>
    <w:p>
      <w:pPr>
        <w:pStyle w:val="ListBullet"/>
        <w:spacing w:after="60"/>
      </w:pPr>
      <w:r>
        <w:t>Decision — the officer determines appropriate action, which may include requiring the person to abstain from related decisions, reassigning duties, or removing them from the situation; and</w:t>
      </w:r>
    </w:p>
    <w:p>
      <w:pPr>
        <w:pStyle w:val="ListBullet"/>
        <w:spacing w:after="60"/>
      </w:pPr>
      <w:r>
        <w:t>Documentation — all disclosed conflicts and the actions taken are recorded and kept on file.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Non-Compliance</w:t>
      </w:r>
    </w:p>
    <w:p>
      <w:pPr>
        <w:jc w:val="both"/>
      </w:pPr>
      <w:r>
        <w:t>Failing to disclose a conflict of interest, or otherwise breaching this policy, may lead to disciplinary action up to and including termination of employment or volunteer engagement.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Review and Monitoring</w:t>
      </w:r>
    </w:p>
    <w:p>
      <w:pPr>
        <w:jc w:val="both"/>
      </w:pPr>
      <w:r>
        <w:t>The [Board of Directors] reviews this policy annually for effectiveness and relevance, and staff and volunteers are reminded of their responsibilities at regular intervals.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Related Policies</w:t>
      </w:r>
    </w:p>
    <w:p>
      <w:pPr>
        <w:pStyle w:val="ListBullet"/>
        <w:spacing w:after="60"/>
      </w:pPr>
      <w:r>
        <w:t>Code of Conduct;</w:t>
      </w:r>
    </w:p>
    <w:p>
      <w:pPr>
        <w:pStyle w:val="ListBullet"/>
        <w:spacing w:after="60"/>
      </w:pPr>
      <w:r>
        <w:t>Financial Management Policy; and</w:t>
      </w:r>
    </w:p>
    <w:p>
      <w:pPr>
        <w:pStyle w:val="ListBullet"/>
        <w:spacing w:after="60"/>
      </w:pPr>
      <w:r>
        <w:t>Whistleblower Protection Policy.</w:t>
      </w:r>
    </w:p>
    <w:p>
      <w:r>
        <w:rPr>
          <w:rFonts w:ascii="Calibri" w:hAnsi="Calibri"/>
          <w:i/>
          <w:color w:val="595959"/>
          <w:sz w:val="20"/>
        </w:rPr>
        <w:t>Policy enquiries: [Designated Officer — Name and Contact Details].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Conflict of Interest Policy (Staff and Volunteers)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