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DIRECTOR INDUCTION PROCEDURE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Director Induction Procedure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Pre-Induction Preparation</w:t>
      </w:r>
    </w:p>
    <w:p>
      <w:pPr>
        <w:pStyle w:val="ListBullet"/>
        <w:spacing w:after="60"/>
      </w:pPr>
      <w:r>
        <w:t>prepare materials: welcome pack, Directors Handbook, current strategic plan and annual reports, recent board minutes and financial statements, and the Conflict of Interest Policy and declaration form; and</w:t>
      </w:r>
    </w:p>
    <w:p>
      <w:pPr>
        <w:pStyle w:val="ListBullet"/>
        <w:spacing w:after="60"/>
      </w:pPr>
      <w:r>
        <w:t>schedule introductory meetings with the Chair, Executive Director, senior management and fellow directors, plus a site visit.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Welcome and Introduction</w:t>
      </w:r>
    </w:p>
    <w:p>
      <w:pPr>
        <w:pStyle w:val="ListBullet"/>
        <w:spacing w:after="60"/>
      </w:pPr>
      <w:r>
        <w:t>send a welcome letter from the Chair with the schedule and materials; and</w:t>
      </w:r>
    </w:p>
    <w:p>
      <w:pPr>
        <w:pStyle w:val="ListBullet"/>
        <w:spacing w:after="60"/>
      </w:pPr>
      <w:r>
        <w:t>hold an orientation session covering history, mission, vision, values, objectives and the role of the Board and an individual director.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Governance and Legal Responsibilities</w:t>
      </w:r>
    </w:p>
    <w:p>
      <w:pPr>
        <w:pStyle w:val="ListBullet"/>
        <w:spacing w:after="60"/>
      </w:pPr>
      <w:r>
        <w:t>provide governance training and detail the legal and fiduciary duties of a director under Australian law, including ACNC compliance;</w:t>
      </w:r>
    </w:p>
    <w:p>
      <w:pPr>
        <w:pStyle w:val="ListBullet"/>
        <w:spacing w:after="60"/>
      </w:pPr>
      <w:r>
        <w:t>review key policies (Conflict of Interest, Code of Conduct, Risk Management) and the constitution and by-laws; and</w:t>
      </w:r>
    </w:p>
    <w:p>
      <w:pPr>
        <w:pStyle w:val="ListBullet"/>
        <w:spacing w:after="60"/>
      </w:pPr>
      <w:r>
        <w:t>complete and sign the Conflict of Interest declaration.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Financial Acumen</w:t>
      </w:r>
    </w:p>
    <w:p>
      <w:pPr>
        <w:pStyle w:val="ListBullet"/>
        <w:spacing w:after="60"/>
      </w:pPr>
      <w:r>
        <w:t>provide an overview of financial status, budgets, reports and funding sources; and</w:t>
      </w:r>
    </w:p>
    <w:p>
      <w:pPr>
        <w:pStyle w:val="ListBullet"/>
        <w:spacing w:after="60"/>
      </w:pPr>
      <w:r>
        <w:t>arrange a session with the Treasurer or Finance Manager on financial statements and oversight responsibilities.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Meeting Key Personnel</w:t>
      </w:r>
    </w:p>
    <w:p>
      <w:pPr>
        <w:pStyle w:val="ListBullet"/>
        <w:spacing w:after="60"/>
      </w:pPr>
      <w:r>
        <w:t>arrange one-on-one meetings with the Executive Director, senior management and program managers; and</w:t>
      </w:r>
    </w:p>
    <w:p>
      <w:pPr>
        <w:pStyle w:val="ListBullet"/>
        <w:spacing w:after="60"/>
      </w:pPr>
      <w:r>
        <w:t>organise a meet-and-greet with staff and volunteers.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Programs and Services</w:t>
      </w:r>
    </w:p>
    <w:p>
      <w:pPr>
        <w:pStyle w:val="ListBullet"/>
        <w:spacing w:after="60"/>
      </w:pPr>
      <w:r>
        <w:t>provide detailed information on programs, services and impact measurement; and</w:t>
      </w:r>
    </w:p>
    <w:p>
      <w:pPr>
        <w:pStyle w:val="ListBullet"/>
        <w:spacing w:after="60"/>
      </w:pPr>
      <w:r>
        <w:t>schedule visits to program sites and opportunities to engage with beneficiaries.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Board Processes and Dynamics</w:t>
      </w:r>
    </w:p>
    <w:p>
      <w:pPr>
        <w:pStyle w:val="ListBullet"/>
        <w:spacing w:after="60"/>
      </w:pPr>
      <w:r>
        <w:t>explain board meeting procedures, preparation and follow-up and provide previous minutes and agendas; and</w:t>
      </w:r>
    </w:p>
    <w:p>
      <w:pPr>
        <w:pStyle w:val="ListBullet"/>
        <w:spacing w:after="60"/>
      </w:pPr>
      <w:r>
        <w:t>discuss board culture and decision-making and introduce the new director to a mentor.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8. Continuous Support and Development</w:t>
      </w:r>
    </w:p>
    <w:p>
      <w:pPr>
        <w:pStyle w:val="ListBullet"/>
        <w:spacing w:after="60"/>
      </w:pPr>
      <w:r>
        <w:t>pair the new director with an experienced mentor;</w:t>
      </w:r>
    </w:p>
    <w:p>
      <w:pPr>
        <w:pStyle w:val="ListBullet"/>
        <w:spacing w:after="60"/>
      </w:pPr>
      <w:r>
        <w:t>provide information on ongoing training and development; and</w:t>
      </w:r>
    </w:p>
    <w:p>
      <w:pPr>
        <w:pStyle w:val="ListBullet"/>
        <w:spacing w:after="60"/>
      </w:pPr>
      <w:r>
        <w:t>establish a feedback mechanism.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9. Formal Review and Acknowledgment</w:t>
      </w:r>
    </w:p>
    <w:p>
      <w:pPr>
        <w:pStyle w:val="ListBullet"/>
        <w:spacing w:after="60"/>
      </w:pPr>
      <w:r>
        <w:t>conduct a formal review of the induction after three months and adjust as needed; and</w:t>
      </w:r>
    </w:p>
    <w:p>
      <w:pPr>
        <w:pStyle w:val="ListBullet"/>
        <w:spacing w:after="60"/>
      </w:pPr>
      <w:r>
        <w:t>formally acknowledge completion at a board meeting.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Director Induction Procedure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