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F3864"/>
          <w:sz w:val="40"/>
        </w:rPr>
        <w:t>EQUAL EMPLOYMENT OPPORTUNITY (EEO) POLICY</w:t>
      </w:r>
    </w:p>
    <w:p>
      <w:pPr>
        <w:jc w:val="center"/>
        <w:pBdr>
          <w:bottom w:val="single" w:sz="6" w:space="1" w:color="1F3864"/>
        </w:pBdr>
      </w:pPr>
      <w:r>
        <w:rPr>
          <w:rFonts w:ascii="Calibri" w:hAnsi="Calibri"/>
          <w:i/>
          <w:color w:val="595959"/>
          <w:sz w:val="24"/>
        </w:rPr>
        <w:t>[Organisation Name]</w:t>
      </w:r>
    </w:p>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6480"/>
      </w:tblGrid>
      <w:tr>
        <w:tc>
          <w:tcPr>
            <w:tcW w:type="dxa" w:w="2880"/>
            <w:shd w:val="clear" w:color="auto" w:fill="E8ECF4"/>
          </w:tcPr>
          <w:p>
            <w:r>
              <w:rPr>
                <w:rFonts w:ascii="Calibri" w:hAnsi="Calibri"/>
                <w:b/>
                <w:color w:val="1F3864"/>
                <w:sz w:val="20"/>
              </w:rPr>
              <w:t>Policy Title</w:t>
            </w:r>
          </w:p>
        </w:tc>
        <w:tc>
          <w:tcPr>
            <w:tcW w:type="dxa" w:w="6480"/>
          </w:tcPr>
          <w:p>
            <w:r>
              <w:rPr>
                <w:rFonts w:ascii="Calibri" w:hAnsi="Calibri"/>
                <w:sz w:val="20"/>
              </w:rPr>
              <w:t>Equal Employment Opportunity (EEO) Policy</w:t>
            </w:r>
          </w:p>
        </w:tc>
      </w:tr>
      <w:tr>
        <w:tc>
          <w:tcPr>
            <w:tcW w:type="dxa" w:w="2880"/>
            <w:shd w:val="clear" w:color="auto" w:fill="E8ECF4"/>
          </w:tcPr>
          <w:p>
            <w:r>
              <w:rPr>
                <w:rFonts w:ascii="Calibri" w:hAnsi="Calibri"/>
                <w:b/>
                <w:color w:val="1F3864"/>
                <w:sz w:val="20"/>
              </w:rPr>
              <w:t>Organisation</w:t>
            </w:r>
          </w:p>
        </w:tc>
        <w:tc>
          <w:tcPr>
            <w:tcW w:type="dxa" w:w="6480"/>
          </w:tcPr>
          <w:p>
            <w:r>
              <w:rPr>
                <w:rFonts w:ascii="Calibri" w:hAnsi="Calibri"/>
                <w:sz w:val="20"/>
              </w:rPr>
              <w:t>[Organisation Name]</w:t>
            </w:r>
          </w:p>
        </w:tc>
      </w:tr>
      <w:tr>
        <w:tc>
          <w:tcPr>
            <w:tcW w:type="dxa" w:w="2880"/>
            <w:shd w:val="clear" w:color="auto" w:fill="E8ECF4"/>
          </w:tcPr>
          <w:p>
            <w:r>
              <w:rPr>
                <w:rFonts w:ascii="Calibri" w:hAnsi="Calibri"/>
                <w:b/>
                <w:color w:val="1F3864"/>
                <w:sz w:val="20"/>
              </w:rPr>
              <w:t>Policy Owner</w:t>
            </w:r>
          </w:p>
        </w:tc>
        <w:tc>
          <w:tcPr>
            <w:tcW w:type="dxa" w:w="6480"/>
          </w:tcPr>
          <w:p>
            <w:r>
              <w:rPr>
                <w:rFonts w:ascii="Calibri" w:hAnsi="Calibri"/>
                <w:sz w:val="20"/>
              </w:rPr>
              <w:t>[Position Title]</w:t>
            </w:r>
          </w:p>
        </w:tc>
      </w:tr>
      <w:tr>
        <w:tc>
          <w:tcPr>
            <w:tcW w:type="dxa" w:w="2880"/>
            <w:shd w:val="clear" w:color="auto" w:fill="E8ECF4"/>
          </w:tcPr>
          <w:p>
            <w:r>
              <w:rPr>
                <w:rFonts w:ascii="Calibri" w:hAnsi="Calibri"/>
                <w:b/>
                <w:color w:val="1F3864"/>
                <w:sz w:val="20"/>
              </w:rPr>
              <w:t>Approved By</w:t>
            </w:r>
          </w:p>
        </w:tc>
        <w:tc>
          <w:tcPr>
            <w:tcW w:type="dxa" w:w="6480"/>
          </w:tcPr>
          <w:p>
            <w:r>
              <w:rPr>
                <w:rFonts w:ascii="Calibri" w:hAnsi="Calibri"/>
                <w:sz w:val="20"/>
              </w:rPr>
              <w:t>[Board of Directors / Position Title]</w:t>
            </w:r>
          </w:p>
        </w:tc>
      </w:tr>
      <w:tr>
        <w:tc>
          <w:tcPr>
            <w:tcW w:type="dxa" w:w="2880"/>
            <w:shd w:val="clear" w:color="auto" w:fill="E8ECF4"/>
          </w:tcPr>
          <w:p>
            <w:r>
              <w:rPr>
                <w:rFonts w:ascii="Calibri" w:hAnsi="Calibri"/>
                <w:b/>
                <w:color w:val="1F3864"/>
                <w:sz w:val="20"/>
              </w:rPr>
              <w:t>Version</w:t>
            </w:r>
          </w:p>
        </w:tc>
        <w:tc>
          <w:tcPr>
            <w:tcW w:type="dxa" w:w="6480"/>
          </w:tcPr>
          <w:p>
            <w:r>
              <w:rPr>
                <w:rFonts w:ascii="Calibri" w:hAnsi="Calibri"/>
                <w:sz w:val="20"/>
              </w:rPr>
              <w:t>[1.0]</w:t>
            </w:r>
          </w:p>
        </w:tc>
      </w:tr>
      <w:tr>
        <w:tc>
          <w:tcPr>
            <w:tcW w:type="dxa" w:w="2880"/>
            <w:shd w:val="clear" w:color="auto" w:fill="E8ECF4"/>
          </w:tcPr>
          <w:p>
            <w:r>
              <w:rPr>
                <w:rFonts w:ascii="Calibri" w:hAnsi="Calibri"/>
                <w:b/>
                <w:color w:val="1F3864"/>
                <w:sz w:val="20"/>
              </w:rPr>
              <w:t>Effective Date</w:t>
            </w:r>
          </w:p>
        </w:tc>
        <w:tc>
          <w:tcPr>
            <w:tcW w:type="dxa" w:w="6480"/>
          </w:tcPr>
          <w:p>
            <w:r>
              <w:rPr>
                <w:rFonts w:ascii="Calibri" w:hAnsi="Calibri"/>
                <w:sz w:val="20"/>
              </w:rPr>
              <w:t>[Date]</w:t>
            </w:r>
          </w:p>
        </w:tc>
      </w:tr>
      <w:tr>
        <w:tc>
          <w:tcPr>
            <w:tcW w:type="dxa" w:w="2880"/>
            <w:shd w:val="clear" w:color="auto" w:fill="E8ECF4"/>
          </w:tcPr>
          <w:p>
            <w:r>
              <w:rPr>
                <w:rFonts w:ascii="Calibri" w:hAnsi="Calibri"/>
                <w:b/>
                <w:color w:val="1F3864"/>
                <w:sz w:val="20"/>
              </w:rPr>
              <w:t>Next Review Date</w:t>
            </w:r>
          </w:p>
        </w:tc>
        <w:tc>
          <w:tcPr>
            <w:tcW w:type="dxa" w:w="6480"/>
          </w:tcPr>
          <w:p>
            <w:r>
              <w:rPr>
                <w:rFonts w:ascii="Calibri" w:hAnsi="Calibri"/>
                <w:sz w:val="20"/>
              </w:rPr>
              <w:t>[Date — annual review recommended]</w:t>
            </w:r>
          </w:p>
        </w:tc>
      </w:tr>
    </w:tbl>
    <w:p/>
    <w:p>
      <w:pPr>
        <w:keepNext/>
        <w:spacing w:before="200" w:after="80"/>
      </w:pPr>
      <w:r>
        <w:rPr>
          <w:rFonts w:ascii="Calibri" w:hAnsi="Calibri"/>
          <w:b/>
          <w:color w:val="1F3864"/>
          <w:sz w:val="26"/>
        </w:rPr>
        <w:t>1. Purpose</w:t>
      </w:r>
    </w:p>
    <w:p>
      <w:pPr>
        <w:jc w:val="both"/>
      </w:pPr>
      <w:r>
        <w:t>[Organisation Name] is committed to a workplace that promotes equal employment opportunity and is free from discrimination, harassment and victimisation. This policy sets out how the organisation ensures all employees and applicants are treated fairly and equitably.</w:t>
      </w:r>
    </w:p>
    <w:p>
      <w:pPr>
        <w:keepNext/>
        <w:spacing w:before="200" w:after="80"/>
      </w:pPr>
      <w:r>
        <w:rPr>
          <w:rFonts w:ascii="Calibri" w:hAnsi="Calibri"/>
          <w:b/>
          <w:color w:val="1F3864"/>
          <w:sz w:val="26"/>
        </w:rPr>
        <w:t>2. Scope</w:t>
      </w:r>
    </w:p>
    <w:p>
      <w:pPr>
        <w:jc w:val="both"/>
      </w:pPr>
      <w:r>
        <w:t>This policy applies to all employees, volunteers, contractors and job applicants. It covers every aspect of employment, including recruitment, selection, training, promotion, and terms and conditions.</w:t>
      </w:r>
    </w:p>
    <w:p>
      <w:pPr>
        <w:keepNext/>
        <w:spacing w:before="200" w:after="80"/>
      </w:pPr>
      <w:r>
        <w:rPr>
          <w:rFonts w:ascii="Calibri" w:hAnsi="Calibri"/>
          <w:b/>
          <w:color w:val="1F3864"/>
          <w:sz w:val="26"/>
        </w:rPr>
        <w:t>3. Policy Statement</w:t>
      </w:r>
    </w:p>
    <w:p>
      <w:pPr>
        <w:jc w:val="both"/>
      </w:pPr>
      <w:r>
        <w:t>[Organisation Name] is committed to:</w:t>
      </w:r>
    </w:p>
    <w:p>
      <w:pPr>
        <w:pStyle w:val="ListBullet"/>
        <w:spacing w:after="60"/>
      </w:pPr>
      <w:r>
        <w:t>providing equal employment opportunity regardless of race, colour, sex, sexual orientation, gender identity, marital status, family or carer responsibilities, pregnancy, age, disability, religion, political opinion, national extraction, social origin or any other characteristic protected by law;</w:t>
      </w:r>
    </w:p>
    <w:p>
      <w:pPr>
        <w:pStyle w:val="ListBullet"/>
        <w:spacing w:after="60"/>
      </w:pPr>
      <w:r>
        <w:t>maintaining a work environment free from discrimination, harassment and victimisation; and</w:t>
      </w:r>
    </w:p>
    <w:p>
      <w:pPr>
        <w:pStyle w:val="ListBullet"/>
        <w:spacing w:after="60"/>
      </w:pPr>
      <w:r>
        <w:t>basing employment decisions on merit and a person's ability to perform the inherent requirements of the role.</w:t>
      </w:r>
    </w:p>
    <w:p>
      <w:pPr>
        <w:keepNext/>
        <w:spacing w:before="200" w:after="80"/>
      </w:pPr>
      <w:r>
        <w:rPr>
          <w:rFonts w:ascii="Calibri" w:hAnsi="Calibri"/>
          <w:b/>
          <w:color w:val="1F3864"/>
          <w:sz w:val="26"/>
        </w:rPr>
        <w:t>4. Responsibilities</w:t>
      </w:r>
    </w:p>
    <w:p>
      <w:pPr>
        <w:pStyle w:val="ListBullet"/>
        <w:spacing w:after="60"/>
      </w:pPr>
      <w:r>
        <w:t>Board and Management — implement and uphold this policy and foster a culture of diversity and inclusion;</w:t>
      </w:r>
    </w:p>
    <w:p>
      <w:pPr>
        <w:pStyle w:val="ListBullet"/>
        <w:spacing w:after="60"/>
      </w:pPr>
      <w:r>
        <w:t>Supervisors and Managers — apply the policy in all employment matters and actively promote a workplace free from discrimination and harassment; and</w:t>
      </w:r>
    </w:p>
    <w:p>
      <w:pPr>
        <w:pStyle w:val="ListBullet"/>
        <w:spacing w:after="60"/>
      </w:pPr>
      <w:r>
        <w:t>Employees and Volunteers — comply with the policy and report any discrimination, harassment or victimisation.</w:t>
      </w:r>
    </w:p>
    <w:p>
      <w:pPr>
        <w:keepNext/>
        <w:spacing w:before="200" w:after="80"/>
      </w:pPr>
      <w:r>
        <w:rPr>
          <w:rFonts w:ascii="Calibri" w:hAnsi="Calibri"/>
          <w:b/>
          <w:color w:val="1F3864"/>
          <w:sz w:val="26"/>
        </w:rPr>
        <w:t>5. Procedures</w:t>
      </w:r>
    </w:p>
    <w:p>
      <w:pPr>
        <w:spacing w:before="80"/>
      </w:pPr>
      <w:r>
        <w:rPr>
          <w:rFonts w:ascii="Calibri" w:hAnsi="Calibri"/>
          <w:b/>
          <w:i/>
          <w:color w:val="1F3864"/>
          <w:sz w:val="22"/>
        </w:rPr>
        <w:t>Recruitment and selection</w:t>
      </w:r>
    </w:p>
    <w:p>
      <w:pPr>
        <w:pStyle w:val="ListBullet"/>
        <w:spacing w:after="60"/>
      </w:pPr>
      <w:r>
        <w:t>advertisements contain no discriminatory statements;</w:t>
      </w:r>
    </w:p>
    <w:p>
      <w:pPr>
        <w:pStyle w:val="ListBullet"/>
        <w:spacing w:after="60"/>
      </w:pPr>
      <w:r>
        <w:t>selection criteria reflect the genuine requirements of the role; and</w:t>
      </w:r>
    </w:p>
    <w:p>
      <w:pPr>
        <w:pStyle w:val="ListBullet"/>
        <w:spacing w:after="60"/>
      </w:pPr>
      <w:r>
        <w:t>all applicants are assessed fairly and objectively against those criteria.</w:t>
      </w:r>
    </w:p>
    <w:p>
      <w:pPr>
        <w:spacing w:before="80"/>
      </w:pPr>
      <w:r>
        <w:rPr>
          <w:rFonts w:ascii="Calibri" w:hAnsi="Calibri"/>
          <w:b/>
          <w:i/>
          <w:color w:val="1F3864"/>
          <w:sz w:val="22"/>
        </w:rPr>
        <w:t>Training and development</w:t>
      </w:r>
    </w:p>
    <w:p>
      <w:pPr>
        <w:pStyle w:val="ListBullet"/>
        <w:spacing w:after="60"/>
      </w:pPr>
      <w:r>
        <w:t>all employees have equal access to training and development; and</w:t>
      </w:r>
    </w:p>
    <w:p>
      <w:pPr>
        <w:pStyle w:val="ListBullet"/>
        <w:spacing w:after="60"/>
      </w:pPr>
      <w:r>
        <w:t>programs are designed to build the skills and career prospects of all employees.</w:t>
      </w:r>
    </w:p>
    <w:p>
      <w:pPr>
        <w:spacing w:before="80"/>
      </w:pPr>
      <w:r>
        <w:rPr>
          <w:rFonts w:ascii="Calibri" w:hAnsi="Calibri"/>
          <w:b/>
          <w:i/>
          <w:color w:val="1F3864"/>
          <w:sz w:val="22"/>
        </w:rPr>
        <w:t>Promotion and advancement</w:t>
      </w:r>
    </w:p>
    <w:p>
      <w:pPr>
        <w:pStyle w:val="ListBullet"/>
        <w:spacing w:after="60"/>
      </w:pPr>
      <w:r>
        <w:t>promotions are based on merit, performance and potential; and</w:t>
      </w:r>
    </w:p>
    <w:p>
      <w:pPr>
        <w:pStyle w:val="ListBullet"/>
        <w:spacing w:after="60"/>
      </w:pPr>
      <w:r>
        <w:t>all employees have equal access to information about opportunities.</w:t>
      </w:r>
    </w:p>
    <w:p>
      <w:pPr>
        <w:spacing w:before="80"/>
      </w:pPr>
      <w:r>
        <w:rPr>
          <w:rFonts w:ascii="Calibri" w:hAnsi="Calibri"/>
          <w:b/>
          <w:i/>
          <w:color w:val="1F3864"/>
          <w:sz w:val="22"/>
        </w:rPr>
        <w:t>Terms and conditions</w:t>
      </w:r>
    </w:p>
    <w:p>
      <w:pPr>
        <w:pStyle w:val="ListBullet"/>
        <w:spacing w:after="60"/>
      </w:pPr>
      <w:r>
        <w:t>all terms and conditions are applied fairly and consistently; and</w:t>
      </w:r>
    </w:p>
    <w:p>
      <w:pPr>
        <w:pStyle w:val="ListBullet"/>
        <w:spacing w:after="60"/>
      </w:pPr>
      <w:r>
        <w:t>reasonable adjustments are made to accommodate employees with disability.</w:t>
      </w:r>
    </w:p>
    <w:p>
      <w:pPr>
        <w:keepNext/>
        <w:spacing w:before="200" w:after="80"/>
      </w:pPr>
      <w:r>
        <w:rPr>
          <w:rFonts w:ascii="Calibri" w:hAnsi="Calibri"/>
          <w:b/>
          <w:color w:val="1F3864"/>
          <w:sz w:val="26"/>
        </w:rPr>
        <w:t>6. Complaints and Grievances</w:t>
      </w:r>
    </w:p>
    <w:p>
      <w:pPr>
        <w:jc w:val="both"/>
      </w:pPr>
      <w:r>
        <w:t>Anyone who believes they have experienced discrimination, harassment or victimisation may raise it through the organisation's grievance procedure. All complaints are taken seriously, investigated promptly and treated confidentially.</w:t>
      </w:r>
    </w:p>
    <w:p>
      <w:pPr>
        <w:keepNext/>
        <w:spacing w:before="200" w:after="80"/>
      </w:pPr>
      <w:r>
        <w:rPr>
          <w:rFonts w:ascii="Calibri" w:hAnsi="Calibri"/>
          <w:b/>
          <w:color w:val="1F3864"/>
          <w:sz w:val="26"/>
        </w:rPr>
        <w:t>7. Monitoring and Review</w:t>
      </w:r>
    </w:p>
    <w:p>
      <w:pPr>
        <w:jc w:val="both"/>
      </w:pPr>
      <w:r>
        <w:t>Implementation of this policy is monitored regularly, and the policy is reviewed annually, or as required, to remain relevant and compliant.</w:t>
      </w:r>
    </w:p>
    <w:p>
      <w:pPr>
        <w:keepNext/>
        <w:spacing w:before="200" w:after="80"/>
      </w:pPr>
      <w:r>
        <w:rPr>
          <w:rFonts w:ascii="Calibri" w:hAnsi="Calibri"/>
          <w:b/>
          <w:color w:val="1F3864"/>
          <w:sz w:val="26"/>
        </w:rPr>
        <w:t>8. Legislation</w:t>
      </w:r>
    </w:p>
    <w:p>
      <w:pPr>
        <w:jc w:val="both"/>
      </w:pPr>
      <w:r>
        <w:t>This policy is guided by relevant Australian law, including the Fair Work Act 2009 (Cth), the Sex Discrimination Act 1984 (Cth), the Disability Discrimination Act 1992 (Cth), the Racial Discrimination Act 1975 (Cth) and the Age Discrimination Act 2004 (Cth).</w:t>
      </w:r>
    </w:p>
    <w:p>
      <w:r>
        <w:rPr>
          <w:rFonts w:ascii="Calibri" w:hAnsi="Calibri"/>
          <w:i/>
          <w:color w:val="595959"/>
          <w:sz w:val="20"/>
        </w:rPr>
        <w:t>Related policies: Anti-Discrimination and Harassment Policy; Grievance Policy; Code of Conduct; Work Health and Safety Policy.</w:t>
      </w:r>
    </w:p>
    <w:p/>
    <w:p>
      <w:pPr>
        <w:keepNext/>
        <w:spacing w:before="200" w:after="80"/>
      </w:pPr>
      <w:r>
        <w:rPr>
          <w:rFonts w:ascii="Calibri" w:hAnsi="Calibri"/>
          <w:b/>
          <w:color w:val="1F3864"/>
          <w:sz w:val="26"/>
        </w:rPr>
        <w:t>Approval &amp; Acknowledgement</w:t>
      </w:r>
    </w:p>
    <w:p>
      <w:pPr>
        <w:jc w:val="both"/>
      </w:pPr>
      <w:r>
        <w:t>This policy has been approved by the [Board of Directors / approving body] of [Organisation Name]. By signing below, the approving officer confirms the policy has been adopted and that staff and volunteers are required to comply with it.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40"/>
            <w:shd w:val="clear" w:color="auto" w:fill="1F3864"/>
          </w:tcPr>
          <w:p>
            <w:r>
              <w:rPr>
                <w:rFonts w:ascii="Calibri" w:hAnsi="Calibri"/>
                <w:b/>
                <w:color w:val="FFFFFF"/>
                <w:sz w:val="20"/>
              </w:rPr>
              <w:t>Role</w:t>
            </w:r>
          </w:p>
        </w:tc>
        <w:tc>
          <w:tcPr>
            <w:tcW w:type="dxa" w:w="2340"/>
            <w:shd w:val="clear" w:color="auto" w:fill="1F3864"/>
          </w:tcPr>
          <w:p>
            <w:r>
              <w:rPr>
                <w:rFonts w:ascii="Calibri" w:hAnsi="Calibri"/>
                <w:b/>
                <w:color w:val="FFFFFF"/>
                <w:sz w:val="20"/>
              </w:rPr>
              <w:t>Name</w:t>
            </w:r>
          </w:p>
        </w:tc>
        <w:tc>
          <w:tcPr>
            <w:tcW w:type="dxa" w:w="2340"/>
            <w:shd w:val="clear" w:color="auto" w:fill="1F3864"/>
          </w:tcPr>
          <w:p>
            <w:r>
              <w:rPr>
                <w:rFonts w:ascii="Calibri" w:hAnsi="Calibri"/>
                <w:b/>
                <w:color w:val="FFFFFF"/>
                <w:sz w:val="20"/>
              </w:rPr>
              <w:t>Signature</w:t>
            </w:r>
          </w:p>
        </w:tc>
        <w:tc>
          <w:tcPr>
            <w:tcW w:type="dxa" w:w="2340"/>
            <w:shd w:val="clear" w:color="auto" w:fill="1F3864"/>
          </w:tcPr>
          <w:p>
            <w:r>
              <w:rPr>
                <w:rFonts w:ascii="Calibri" w:hAnsi="Calibri"/>
                <w:b/>
                <w:color w:val="FFFFFF"/>
                <w:sz w:val="20"/>
              </w:rPr>
              <w:t>Date</w:t>
            </w:r>
          </w:p>
        </w:tc>
      </w:tr>
      <w:tr>
        <w:tc>
          <w:tcPr>
            <w:tcW w:type="dxa" w:w="2340"/>
          </w:tcPr>
          <w:p>
            <w:r>
              <w:rPr>
                <w:rFonts w:ascii="Calibri" w:hAnsi="Calibri"/>
                <w:sz w:val="20"/>
              </w:rPr>
              <w:t>Approved by (Director / Chair)</w:t>
            </w:r>
          </w:p>
        </w:tc>
        <w:tc>
          <w:tcPr>
            <w:tcW w:type="dxa" w:w="2340"/>
          </w:tcPr>
          <w:p>
            <w:r>
              <w:rPr>
                <w:rFonts w:ascii="Calibri" w:hAnsi="Calibri"/>
                <w:sz w:val="20"/>
              </w:rPr>
            </w:r>
          </w:p>
        </w:tc>
        <w:tc>
          <w:tcPr>
            <w:tcW w:type="dxa" w:w="2340"/>
          </w:tcPr>
          <w:p>
            <w:r>
              <w:rPr>
                <w:rFonts w:ascii="Calibri" w:hAnsi="Calibri"/>
                <w:sz w:val="20"/>
              </w:rPr>
            </w:r>
          </w:p>
        </w:tc>
        <w:tc>
          <w:tcPr>
            <w:tcW w:type="dxa" w:w="2340"/>
          </w:tcPr>
          <w:p>
            <w:r>
              <w:rPr>
                <w:rFonts w:ascii="Calibri" w:hAnsi="Calibri"/>
                <w:sz w:val="20"/>
              </w:rPr>
            </w:r>
          </w:p>
        </w:tc>
      </w:tr>
      <w:tr>
        <w:tc>
          <w:tcPr>
            <w:tcW w:type="dxa" w:w="2340"/>
            <w:shd w:val="clear" w:color="auto" w:fill="F2F4F9"/>
          </w:tcPr>
          <w:p>
            <w:r>
              <w:rPr>
                <w:rFonts w:ascii="Calibri" w:hAnsi="Calibri"/>
                <w:sz w:val="20"/>
              </w:rPr>
              <w:t>Policy Owner</w:t>
            </w:r>
          </w:p>
        </w:tc>
        <w:tc>
          <w:tcPr>
            <w:tcW w:type="dxa" w:w="2340"/>
            <w:shd w:val="clear" w:color="auto" w:fill="F2F4F9"/>
          </w:tcPr>
          <w:p>
            <w:r>
              <w:rPr>
                <w:rFonts w:ascii="Calibri" w:hAnsi="Calibri"/>
                <w:sz w:val="20"/>
              </w:rPr>
            </w:r>
          </w:p>
        </w:tc>
        <w:tc>
          <w:tcPr>
            <w:tcW w:type="dxa" w:w="2340"/>
            <w:shd w:val="clear" w:color="auto" w:fill="F2F4F9"/>
          </w:tcPr>
          <w:p>
            <w:r>
              <w:rPr>
                <w:rFonts w:ascii="Calibri" w:hAnsi="Calibri"/>
                <w:sz w:val="20"/>
              </w:rPr>
            </w:r>
          </w:p>
        </w:tc>
        <w:tc>
          <w:tcPr>
            <w:tcW w:type="dxa" w:w="2340"/>
            <w:shd w:val="clear" w:color="auto" w:fill="F2F4F9"/>
          </w:tcPr>
          <w:p>
            <w:r>
              <w:rPr>
                <w:rFonts w:ascii="Calibri" w:hAnsi="Calibri"/>
                <w:sz w:val="20"/>
              </w:rPr>
            </w:r>
          </w:p>
        </w:tc>
      </w:tr>
    </w:tbl>
    <w:p/>
    <w:p>
      <w:pPr>
        <w:keepNext/>
        <w:spacing w:before="200" w:after="80"/>
      </w:pPr>
      <w:r>
        <w:rPr>
          <w:rFonts w:ascii="Calibri" w:hAnsi="Calibri"/>
          <w:b/>
          <w:color w:val="1F3864"/>
          <w:sz w:val="26"/>
        </w:rPr>
        <w:t>Version History</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40"/>
            <w:shd w:val="clear" w:color="auto" w:fill="1F3864"/>
          </w:tcPr>
          <w:p>
            <w:r>
              <w:rPr>
                <w:rFonts w:ascii="Calibri" w:hAnsi="Calibri"/>
                <w:b/>
                <w:color w:val="FFFFFF"/>
                <w:sz w:val="20"/>
              </w:rPr>
              <w:t>Version</w:t>
            </w:r>
          </w:p>
        </w:tc>
        <w:tc>
          <w:tcPr>
            <w:tcW w:type="dxa" w:w="2340"/>
            <w:shd w:val="clear" w:color="auto" w:fill="1F3864"/>
          </w:tcPr>
          <w:p>
            <w:r>
              <w:rPr>
                <w:rFonts w:ascii="Calibri" w:hAnsi="Calibri"/>
                <w:b/>
                <w:color w:val="FFFFFF"/>
                <w:sz w:val="20"/>
              </w:rPr>
              <w:t>Date</w:t>
            </w:r>
          </w:p>
        </w:tc>
        <w:tc>
          <w:tcPr>
            <w:tcW w:type="dxa" w:w="2340"/>
            <w:shd w:val="clear" w:color="auto" w:fill="1F3864"/>
          </w:tcPr>
          <w:p>
            <w:r>
              <w:rPr>
                <w:rFonts w:ascii="Calibri" w:hAnsi="Calibri"/>
                <w:b/>
                <w:color w:val="FFFFFF"/>
                <w:sz w:val="20"/>
              </w:rPr>
              <w:t>Author / Reviser</w:t>
            </w:r>
          </w:p>
        </w:tc>
        <w:tc>
          <w:tcPr>
            <w:tcW w:type="dxa" w:w="2340"/>
            <w:shd w:val="clear" w:color="auto" w:fill="1F3864"/>
          </w:tcPr>
          <w:p>
            <w:r>
              <w:rPr>
                <w:rFonts w:ascii="Calibri" w:hAnsi="Calibri"/>
                <w:b/>
                <w:color w:val="FFFFFF"/>
                <w:sz w:val="20"/>
              </w:rPr>
              <w:t>Summary of Changes</w:t>
            </w:r>
          </w:p>
        </w:tc>
      </w:tr>
      <w:tr>
        <w:tc>
          <w:tcPr>
            <w:tcW w:type="dxa" w:w="1296"/>
          </w:tcPr>
          <w:p>
            <w:r>
              <w:rPr>
                <w:rFonts w:ascii="Calibri" w:hAnsi="Calibri"/>
                <w:sz w:val="20"/>
              </w:rPr>
              <w:t>1.0</w:t>
            </w:r>
          </w:p>
        </w:tc>
        <w:tc>
          <w:tcPr>
            <w:tcW w:type="dxa" w:w="1584"/>
          </w:tcPr>
          <w:p>
            <w:r>
              <w:rPr>
                <w:rFonts w:ascii="Calibri" w:hAnsi="Calibri"/>
                <w:sz w:val="20"/>
              </w:rPr>
              <w:t>[Date]</w:t>
            </w:r>
          </w:p>
        </w:tc>
        <w:tc>
          <w:tcPr>
            <w:tcW w:type="dxa" w:w="2880"/>
          </w:tcPr>
          <w:p>
            <w:r>
              <w:rPr>
                <w:rFonts w:ascii="Calibri" w:hAnsi="Calibri"/>
                <w:sz w:val="20"/>
              </w:rPr>
              <w:t>[Name]</w:t>
            </w:r>
          </w:p>
        </w:tc>
        <w:tc>
          <w:tcPr>
            <w:tcW w:type="dxa" w:w="3600"/>
          </w:tcPr>
          <w:p>
            <w:r>
              <w:rPr>
                <w:rFonts w:ascii="Calibri" w:hAnsi="Calibri"/>
                <w:sz w:val="20"/>
              </w:rPr>
              <w:t>Initial adoption of policy.</w:t>
            </w:r>
          </w:p>
        </w:tc>
      </w:tr>
      <w:tr>
        <w:tc>
          <w:tcPr>
            <w:tcW w:type="dxa" w:w="1296"/>
          </w:tcPr>
          <w:p>
            <w:r>
              <w:rPr>
                <w:rFonts w:ascii="Calibri" w:hAnsi="Calibri"/>
                <w:sz w:val="20"/>
              </w:rPr>
            </w:r>
          </w:p>
        </w:tc>
        <w:tc>
          <w:tcPr>
            <w:tcW w:type="dxa" w:w="1584"/>
          </w:tcPr>
          <w:p>
            <w:r>
              <w:rPr>
                <w:rFonts w:ascii="Calibri" w:hAnsi="Calibri"/>
                <w:sz w:val="20"/>
              </w:rPr>
            </w:r>
          </w:p>
        </w:tc>
        <w:tc>
          <w:tcPr>
            <w:tcW w:type="dxa" w:w="2880"/>
          </w:tcPr>
          <w:p>
            <w:r>
              <w:rPr>
                <w:rFonts w:ascii="Calibri" w:hAnsi="Calibri"/>
                <w:sz w:val="20"/>
              </w:rPr>
            </w:r>
          </w:p>
        </w:tc>
        <w:tc>
          <w:tcPr>
            <w:tcW w:type="dxa" w:w="3600"/>
          </w:tcPr>
          <w:p>
            <w:r>
              <w:rPr>
                <w:rFonts w:ascii="Calibri" w:hAnsi="Calibri"/>
                <w:sz w:val="20"/>
              </w:rPr>
            </w:r>
          </w:p>
        </w:tc>
      </w:tr>
    </w:tbl>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6"/>
      </w:rPr>
      <w:t>Equal Employment Opportunity (EEO) Policy  |  [Organisation Name]  |  Template — customise before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