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SUITABILITY OF RESPONSIBLE PERSONS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Suitability of Responsible Persons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The Board of [Organisation Name] is committed to ensuring its members — its Responsible Persons — are suitable to carry out their governance roles. This policy sets out the criteria and process for assessing that suitability.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jc w:val="both"/>
      </w:pPr>
      <w:r>
        <w:t>This policy establishes clear guidelines for selecting, assessing and reviewing Responsible Persons so they have the skills, integrity and commitment needed to govern effectively and advance the organisation's mission.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current and prospective members of the Board of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Suitability Criteria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4.1 Integrity and character</w:t>
      </w:r>
    </w:p>
    <w:p>
      <w:pPr>
        <w:pStyle w:val="ListBullet"/>
        <w:spacing w:after="60"/>
      </w:pPr>
      <w:r>
        <w:t>demonstrated honesty, integrity and ethical conduct;</w:t>
      </w:r>
    </w:p>
    <w:p>
      <w:pPr>
        <w:pStyle w:val="ListBullet"/>
        <w:spacing w:after="60"/>
      </w:pPr>
      <w:r>
        <w:t>a reputation for sound judgement; and</w:t>
      </w:r>
    </w:p>
    <w:p>
      <w:pPr>
        <w:pStyle w:val="ListBullet"/>
        <w:spacing w:after="60"/>
      </w:pPr>
      <w:r>
        <w:t>no history of fraudulent or criminal activity.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4.2 Skills and experience</w:t>
      </w:r>
    </w:p>
    <w:p>
      <w:pPr>
        <w:pStyle w:val="ListBullet"/>
        <w:spacing w:after="60"/>
      </w:pPr>
      <w:r>
        <w:t>relevant skills, knowledge and experience that support effective governance; and</w:t>
      </w:r>
    </w:p>
    <w:p>
      <w:pPr>
        <w:pStyle w:val="ListBullet"/>
        <w:spacing w:after="60"/>
      </w:pPr>
      <w:r>
        <w:t>a track record of leadership and achievement.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4.3 Commitment</w:t>
      </w:r>
    </w:p>
    <w:p>
      <w:pPr>
        <w:pStyle w:val="ListBullet"/>
        <w:spacing w:after="60"/>
      </w:pPr>
      <w:r>
        <w:t>genuine commitment to the mission, values and objectives; and</w:t>
      </w:r>
    </w:p>
    <w:p>
      <w:pPr>
        <w:pStyle w:val="ListBullet"/>
        <w:spacing w:after="60"/>
      </w:pPr>
      <w:r>
        <w:t>willingness to dedicate sufficient time, including attending meetings and participating in activities.</w:t>
      </w:r>
    </w:p>
    <w:p>
      <w:pPr>
        <w:spacing w:before="80"/>
      </w:pPr>
      <w:r>
        <w:rPr>
          <w:rFonts w:ascii="Calibri" w:hAnsi="Calibri"/>
          <w:b/>
          <w:i/>
          <w:color w:val="1F3864"/>
          <w:sz w:val="22"/>
        </w:rPr>
        <w:t>4.4 Compliance</w:t>
      </w:r>
    </w:p>
    <w:p>
      <w:pPr>
        <w:pStyle w:val="ListBullet"/>
        <w:spacing w:after="60"/>
      </w:pPr>
      <w:r>
        <w:t>meeting all legal and regulatory requirements for serving as a director, including ACNC requirements; and</w:t>
      </w:r>
    </w:p>
    <w:p>
      <w:pPr>
        <w:pStyle w:val="ListBullet"/>
        <w:spacing w:after="60"/>
      </w:pPr>
      <w:r>
        <w:t>not being disqualified from managing a corporation under the Corporations Act 2001 (Cth).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Assessment Process</w:t>
      </w:r>
    </w:p>
    <w:p>
      <w:pPr>
        <w:pStyle w:val="ListBullet"/>
        <w:spacing w:after="60"/>
      </w:pPr>
      <w:r>
        <w:t>Nomination — candidates may be nominated by directors or stakeholders, or self-nominate, and submit a resume and application;</w:t>
      </w:r>
    </w:p>
    <w:p>
      <w:pPr>
        <w:pStyle w:val="ListBullet"/>
        <w:spacing w:after="60"/>
      </w:pPr>
      <w:r>
        <w:t>Initial screening — the Governance Committee reviews applications against the criteria;</w:t>
      </w:r>
    </w:p>
    <w:p>
      <w:pPr>
        <w:pStyle w:val="ListBullet"/>
        <w:spacing w:after="60"/>
      </w:pPr>
      <w:r>
        <w:t>Interview — shortlisted candidates are interviewed to assess experience, skills, commitment and alignment with values;</w:t>
      </w:r>
    </w:p>
    <w:p>
      <w:pPr>
        <w:pStyle w:val="ListBullet"/>
        <w:spacing w:after="60"/>
      </w:pPr>
      <w:r>
        <w:t>Background checks — reference checks, qualification verification, a National Police Check and other relevant checks (e.g. insolvency) are completed; and</w:t>
      </w:r>
    </w:p>
    <w:p>
      <w:pPr>
        <w:pStyle w:val="ListBullet"/>
        <w:spacing w:after="60"/>
      </w:pPr>
      <w:r>
        <w:t>Board approval — final candidates are presented to the Board, and appointment requires a majority vote.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Ongoing Suitability</w:t>
      </w:r>
    </w:p>
    <w:p>
      <w:pPr>
        <w:pStyle w:val="ListBullet"/>
        <w:spacing w:after="60"/>
      </w:pPr>
      <w:r>
        <w:t>annual performance evaluations assess each director's contribution, attendance and adherence to values and policy;</w:t>
      </w:r>
    </w:p>
    <w:p>
      <w:pPr>
        <w:pStyle w:val="ListBullet"/>
        <w:spacing w:after="60"/>
      </w:pPr>
      <w:r>
        <w:t>directors are encouraged to undertake continuous professional development; and</w:t>
      </w:r>
    </w:p>
    <w:p>
      <w:pPr>
        <w:pStyle w:val="ListBullet"/>
        <w:spacing w:after="60"/>
      </w:pPr>
      <w:r>
        <w:t>directors disclose conflicts of interest and abstain from related decisions.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Removal of Directors</w:t>
      </w:r>
    </w:p>
    <w:p>
      <w:pPr>
        <w:jc w:val="both"/>
      </w:pPr>
      <w:r>
        <w:t>A director who no longer meets the suitability criteria, or who breaches the organisation's policies and values, may be removed following the process in the constitution and applicable legislation.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Documentation and Confidentiality</w:t>
      </w:r>
    </w:p>
    <w:p>
      <w:pPr>
        <w:jc w:val="both"/>
      </w:pPr>
      <w:r>
        <w:t>All documentation relating to the assessment of Responsible Persons is kept confidential and stored securely, with access limited to authorised personnel.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9. Review</w:t>
      </w:r>
    </w:p>
    <w:p>
      <w:pPr>
        <w:jc w:val="both"/>
      </w:pPr>
      <w:r>
        <w:t>This policy is reviewed annually by the Governance Committee, with amendments approved by the Board.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Suitability of Responsible Persons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