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ALLOCATION OF FUNDING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Allocation of Funding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framework for the equitable and transparent allocation of funds within [Organisation Name], so resources maximise impact, support strategic priorities and maintain financial sustainability.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funds received — donations, grants, sponsorships and other income — and covers allocation to programs, projects, administration and reserves.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Principles</w:t>
      </w:r>
    </w:p>
    <w:p>
      <w:pPr>
        <w:pStyle w:val="ListBullet"/>
        <w:spacing w:after="60"/>
      </w:pPr>
      <w:r>
        <w:t>alignment with mission and strategic goals;</w:t>
      </w:r>
    </w:p>
    <w:p>
      <w:pPr>
        <w:pStyle w:val="ListBullet"/>
        <w:spacing w:after="60"/>
      </w:pPr>
      <w:r>
        <w:t>transparency in the allocation process;</w:t>
      </w:r>
    </w:p>
    <w:p>
      <w:pPr>
        <w:pStyle w:val="ListBullet"/>
        <w:spacing w:after="60"/>
      </w:pPr>
      <w:r>
        <w:t>equity in meeting diverse community needs;</w:t>
      </w:r>
    </w:p>
    <w:p>
      <w:pPr>
        <w:pStyle w:val="ListBullet"/>
        <w:spacing w:after="60"/>
      </w:pPr>
      <w:r>
        <w:t>accountability and responsible stewardship; and</w:t>
      </w:r>
    </w:p>
    <w:p>
      <w:pPr>
        <w:pStyle w:val="ListBullet"/>
        <w:spacing w:after="60"/>
      </w:pPr>
      <w:r>
        <w:t>sustainability, balancing immediate needs with long-term goals.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pStyle w:val="ListBullet"/>
        <w:spacing w:after="60"/>
      </w:pPr>
      <w:r>
        <w:t>Board of Directors — oversight and final approval;</w:t>
      </w:r>
    </w:p>
    <w:p>
      <w:pPr>
        <w:pStyle w:val="ListBullet"/>
        <w:spacing w:after="60"/>
      </w:pPr>
      <w:r>
        <w:t>Executive Director — implements the policy and ensures strategic alignment;</w:t>
      </w:r>
    </w:p>
    <w:p>
      <w:pPr>
        <w:pStyle w:val="ListBullet"/>
        <w:spacing w:after="60"/>
      </w:pPr>
      <w:r>
        <w:t>Finance Committee — reviews and recommends allocations;</w:t>
      </w:r>
    </w:p>
    <w:p>
      <w:pPr>
        <w:pStyle w:val="ListBullet"/>
        <w:spacing w:after="60"/>
      </w:pPr>
      <w:r>
        <w:t>Program Managers — propose budgets and funding needs; and</w:t>
      </w:r>
    </w:p>
    <w:p>
      <w:pPr>
        <w:pStyle w:val="ListBullet"/>
        <w:spacing w:after="60"/>
      </w:pPr>
      <w:r>
        <w:t>Finance Manager — monitors financial status and allocation against policy.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Allocation Process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5.1 Annual budgeting</w:t>
      </w:r>
    </w:p>
    <w:p>
      <w:pPr>
        <w:pStyle w:val="ListBullet"/>
        <w:spacing w:after="60"/>
      </w:pPr>
      <w:r>
        <w:t>program managers prepare detailed budget proposals;</w:t>
      </w:r>
    </w:p>
    <w:p>
      <w:pPr>
        <w:pStyle w:val="ListBullet"/>
        <w:spacing w:after="60"/>
      </w:pPr>
      <w:r>
        <w:t>the Finance Manager consolidates them into a draft budget;</w:t>
      </w:r>
    </w:p>
    <w:p>
      <w:pPr>
        <w:pStyle w:val="ListBullet"/>
        <w:spacing w:after="60"/>
      </w:pPr>
      <w:r>
        <w:t>the Finance Committee reviews against priorities, availability and sustainability; and</w:t>
      </w:r>
    </w:p>
    <w:p>
      <w:pPr>
        <w:pStyle w:val="ListBullet"/>
        <w:spacing w:after="60"/>
      </w:pPr>
      <w:r>
        <w:t>the Board approves the final budget.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5.2 Allocation criteria</w:t>
      </w:r>
    </w:p>
    <w:p>
      <w:pPr>
        <w:pStyle w:val="ListBullet"/>
        <w:spacing w:after="60"/>
      </w:pPr>
      <w:r>
        <w:t>priority to projects aligned with strategic goals;</w:t>
      </w:r>
    </w:p>
    <w:p>
      <w:pPr>
        <w:pStyle w:val="ListBullet"/>
        <w:spacing w:after="60"/>
      </w:pPr>
      <w:r>
        <w:t>consideration of impact potential and scalability;</w:t>
      </w:r>
    </w:p>
    <w:p>
      <w:pPr>
        <w:pStyle w:val="ListBullet"/>
        <w:spacing w:after="60"/>
      </w:pPr>
      <w:r>
        <w:t>preference for cost-effective use of resources;</w:t>
      </w:r>
    </w:p>
    <w:p>
      <w:pPr>
        <w:pStyle w:val="ListBullet"/>
        <w:spacing w:after="60"/>
      </w:pPr>
      <w:r>
        <w:t>direction of funds to the most pressing community needs; and</w:t>
      </w:r>
    </w:p>
    <w:p>
      <w:pPr>
        <w:pStyle w:val="ListBullet"/>
        <w:spacing w:after="60"/>
      </w:pPr>
      <w:r>
        <w:t>mandatory adherence to donor restrictions and legal requirements.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5.3 Disbursement</w:t>
      </w:r>
    </w:p>
    <w:p>
      <w:pPr>
        <w:pStyle w:val="ListBullet"/>
        <w:spacing w:after="60"/>
      </w:pPr>
      <w:r>
        <w:t>funds are disbursed quarterly, subject to performance and financial review;</w:t>
      </w:r>
    </w:p>
    <w:p>
      <w:pPr>
        <w:pStyle w:val="ListBullet"/>
        <w:spacing w:after="60"/>
      </w:pPr>
      <w:r>
        <w:t>special requests for urgent needs are reviewed by the Finance Committee; and</w:t>
      </w:r>
    </w:p>
    <w:p>
      <w:pPr>
        <w:pStyle w:val="ListBullet"/>
        <w:spacing w:after="60"/>
      </w:pPr>
      <w:r>
        <w:t>expenditure is monitored against allocations, with adjustments made on appropriate approval.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Monitoring and Reporting</w:t>
      </w:r>
    </w:p>
    <w:p>
      <w:pPr>
        <w:pStyle w:val="ListBullet"/>
        <w:spacing w:after="60"/>
      </w:pPr>
      <w:r>
        <w:t>the Finance Manager prepares quarterly reports on allocation and expenditure;</w:t>
      </w:r>
    </w:p>
    <w:p>
      <w:pPr>
        <w:pStyle w:val="ListBullet"/>
        <w:spacing w:after="60"/>
      </w:pPr>
      <w:r>
        <w:t>program managers report on progress and outcomes; and</w:t>
      </w:r>
    </w:p>
    <w:p>
      <w:pPr>
        <w:pStyle w:val="ListBullet"/>
        <w:spacing w:after="60"/>
      </w:pPr>
      <w:r>
        <w:t>an annual review assesses the effectiveness of the process.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Reserve Funds</w:t>
      </w:r>
    </w:p>
    <w:p>
      <w:pPr>
        <w:pStyle w:val="ListBullet"/>
        <w:spacing w:after="60"/>
      </w:pPr>
      <w:r>
        <w:t>a portion of annual income is allocated to reserves for financial stability; and</w:t>
      </w:r>
    </w:p>
    <w:p>
      <w:pPr>
        <w:pStyle w:val="ListBullet"/>
        <w:spacing w:after="60"/>
      </w:pPr>
      <w:r>
        <w:t>reserves are used for emergencies or strategic opportunities, subject to Board approval.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 and Ethics</w:t>
      </w:r>
    </w:p>
    <w:p>
      <w:pPr>
        <w:pStyle w:val="ListBullet"/>
        <w:spacing w:after="60"/>
      </w:pPr>
      <w:r>
        <w:t>ensure all allocations comply with relevant law and donor requirements; and</w:t>
      </w:r>
    </w:p>
    <w:p>
      <w:pPr>
        <w:pStyle w:val="ListBullet"/>
        <w:spacing w:after="60"/>
      </w:pPr>
      <w:r>
        <w:t>maintain high ethical standards and avoid conflicts of interest.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</w:t>
      </w:r>
    </w:p>
    <w:p>
      <w:pPr>
        <w:jc w:val="both"/>
      </w:pPr>
      <w:r>
        <w:t>This policy is reviewed annually by the Finance Committee, with revisions approved by the Board. Records of proposals, disbursements, monitoring and policy versions are maintained.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Allocation of Funding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