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3864"/>
          <w:sz w:val="40"/>
        </w:rPr>
        <w:t>FIELD MEDIA PROJECT DELIVERY EVIDENCE POLICY</w:t>
      </w:r>
    </w:p>
    <w:p>
      <w:pPr>
        <w:jc w:val="center"/>
        <w:pBdr>
          <w:bottom w:val="single" w:sz="6" w:space="1" w:color="1F3864"/>
        </w:pBdr>
      </w:pPr>
      <w:r>
        <w:rPr>
          <w:rFonts w:ascii="Calibri" w:hAnsi="Calibri"/>
          <w:i/>
          <w:color w:val="595959"/>
          <w:sz w:val="24"/>
        </w:rPr>
        <w:t>[Organisation Name]</w:t>
      </w:r>
    </w:p>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6480"/>
      </w:tblGrid>
      <w:tr>
        <w:tc>
          <w:tcPr>
            <w:tcW w:type="dxa" w:w="2880"/>
            <w:shd w:val="clear" w:color="auto" w:fill="E8ECF4"/>
          </w:tcPr>
          <w:p>
            <w:r>
              <w:rPr>
                <w:rFonts w:ascii="Calibri" w:hAnsi="Calibri"/>
                <w:b/>
                <w:color w:val="1F3864"/>
                <w:sz w:val="20"/>
              </w:rPr>
              <w:t>Policy Title</w:t>
            </w:r>
          </w:p>
        </w:tc>
        <w:tc>
          <w:tcPr>
            <w:tcW w:type="dxa" w:w="6480"/>
          </w:tcPr>
          <w:p>
            <w:r>
              <w:rPr>
                <w:rFonts w:ascii="Calibri" w:hAnsi="Calibri"/>
                <w:sz w:val="20"/>
              </w:rPr>
              <w:t>Field Media Project Delivery Evidence Policy</w:t>
            </w:r>
          </w:p>
        </w:tc>
      </w:tr>
      <w:tr>
        <w:tc>
          <w:tcPr>
            <w:tcW w:type="dxa" w:w="2880"/>
            <w:shd w:val="clear" w:color="auto" w:fill="E8ECF4"/>
          </w:tcPr>
          <w:p>
            <w:r>
              <w:rPr>
                <w:rFonts w:ascii="Calibri" w:hAnsi="Calibri"/>
                <w:b/>
                <w:color w:val="1F3864"/>
                <w:sz w:val="20"/>
              </w:rPr>
              <w:t>Organisation</w:t>
            </w:r>
          </w:p>
        </w:tc>
        <w:tc>
          <w:tcPr>
            <w:tcW w:type="dxa" w:w="6480"/>
          </w:tcPr>
          <w:p>
            <w:r>
              <w:rPr>
                <w:rFonts w:ascii="Calibri" w:hAnsi="Calibri"/>
                <w:sz w:val="20"/>
              </w:rPr>
              <w:t>[Organisation Name]</w:t>
            </w:r>
          </w:p>
        </w:tc>
      </w:tr>
      <w:tr>
        <w:tc>
          <w:tcPr>
            <w:tcW w:type="dxa" w:w="2880"/>
            <w:shd w:val="clear" w:color="auto" w:fill="E8ECF4"/>
          </w:tcPr>
          <w:p>
            <w:r>
              <w:rPr>
                <w:rFonts w:ascii="Calibri" w:hAnsi="Calibri"/>
                <w:b/>
                <w:color w:val="1F3864"/>
                <w:sz w:val="20"/>
              </w:rPr>
              <w:t>Policy Owner</w:t>
            </w:r>
          </w:p>
        </w:tc>
        <w:tc>
          <w:tcPr>
            <w:tcW w:type="dxa" w:w="6480"/>
          </w:tcPr>
          <w:p>
            <w:r>
              <w:rPr>
                <w:rFonts w:ascii="Calibri" w:hAnsi="Calibri"/>
                <w:sz w:val="20"/>
              </w:rPr>
              <w:t>[Position Title]</w:t>
            </w:r>
          </w:p>
        </w:tc>
      </w:tr>
      <w:tr>
        <w:tc>
          <w:tcPr>
            <w:tcW w:type="dxa" w:w="2880"/>
            <w:shd w:val="clear" w:color="auto" w:fill="E8ECF4"/>
          </w:tcPr>
          <w:p>
            <w:r>
              <w:rPr>
                <w:rFonts w:ascii="Calibri" w:hAnsi="Calibri"/>
                <w:b/>
                <w:color w:val="1F3864"/>
                <w:sz w:val="20"/>
              </w:rPr>
              <w:t>Approved By</w:t>
            </w:r>
          </w:p>
        </w:tc>
        <w:tc>
          <w:tcPr>
            <w:tcW w:type="dxa" w:w="6480"/>
          </w:tcPr>
          <w:p>
            <w:r>
              <w:rPr>
                <w:rFonts w:ascii="Calibri" w:hAnsi="Calibri"/>
                <w:sz w:val="20"/>
              </w:rPr>
              <w:t>[Board of Directors / Position Title]</w:t>
            </w:r>
          </w:p>
        </w:tc>
      </w:tr>
      <w:tr>
        <w:tc>
          <w:tcPr>
            <w:tcW w:type="dxa" w:w="2880"/>
            <w:shd w:val="clear" w:color="auto" w:fill="E8ECF4"/>
          </w:tcPr>
          <w:p>
            <w:r>
              <w:rPr>
                <w:rFonts w:ascii="Calibri" w:hAnsi="Calibri"/>
                <w:b/>
                <w:color w:val="1F3864"/>
                <w:sz w:val="20"/>
              </w:rPr>
              <w:t>Version</w:t>
            </w:r>
          </w:p>
        </w:tc>
        <w:tc>
          <w:tcPr>
            <w:tcW w:type="dxa" w:w="6480"/>
          </w:tcPr>
          <w:p>
            <w:r>
              <w:rPr>
                <w:rFonts w:ascii="Calibri" w:hAnsi="Calibri"/>
                <w:sz w:val="20"/>
              </w:rPr>
              <w:t>[1.0]</w:t>
            </w:r>
          </w:p>
        </w:tc>
      </w:tr>
      <w:tr>
        <w:tc>
          <w:tcPr>
            <w:tcW w:type="dxa" w:w="2880"/>
            <w:shd w:val="clear" w:color="auto" w:fill="E8ECF4"/>
          </w:tcPr>
          <w:p>
            <w:r>
              <w:rPr>
                <w:rFonts w:ascii="Calibri" w:hAnsi="Calibri"/>
                <w:b/>
                <w:color w:val="1F3864"/>
                <w:sz w:val="20"/>
              </w:rPr>
              <w:t>Effective Date</w:t>
            </w:r>
          </w:p>
        </w:tc>
        <w:tc>
          <w:tcPr>
            <w:tcW w:type="dxa" w:w="6480"/>
          </w:tcPr>
          <w:p>
            <w:r>
              <w:rPr>
                <w:rFonts w:ascii="Calibri" w:hAnsi="Calibri"/>
                <w:sz w:val="20"/>
              </w:rPr>
              <w:t>[Date]</w:t>
            </w:r>
          </w:p>
        </w:tc>
      </w:tr>
      <w:tr>
        <w:tc>
          <w:tcPr>
            <w:tcW w:type="dxa" w:w="2880"/>
            <w:shd w:val="clear" w:color="auto" w:fill="E8ECF4"/>
          </w:tcPr>
          <w:p>
            <w:r>
              <w:rPr>
                <w:rFonts w:ascii="Calibri" w:hAnsi="Calibri"/>
                <w:b/>
                <w:color w:val="1F3864"/>
                <w:sz w:val="20"/>
              </w:rPr>
              <w:t>Next Review Date</w:t>
            </w:r>
          </w:p>
        </w:tc>
        <w:tc>
          <w:tcPr>
            <w:tcW w:type="dxa" w:w="6480"/>
          </w:tcPr>
          <w:p>
            <w:r>
              <w:rPr>
                <w:rFonts w:ascii="Calibri" w:hAnsi="Calibri"/>
                <w:sz w:val="20"/>
              </w:rPr>
              <w:t>[Date — annual review recommended]</w:t>
            </w:r>
          </w:p>
        </w:tc>
      </w:tr>
    </w:tbl>
    <w:p/>
    <w:p>
      <w:pPr>
        <w:keepNext/>
        <w:spacing w:before="200" w:after="80"/>
      </w:pPr>
      <w:r>
        <w:rPr>
          <w:rFonts w:ascii="Calibri" w:hAnsi="Calibri"/>
          <w:b/>
          <w:color w:val="1F3864"/>
          <w:sz w:val="26"/>
        </w:rPr>
        <w:t>1. Introduction</w:t>
      </w:r>
    </w:p>
    <w:p>
      <w:pPr>
        <w:jc w:val="both"/>
      </w:pPr>
      <w:r>
        <w:t>[Organisation Name] is committed to transparency, accountability and quality in all field media projects. This policy sets out how evidence of media projects delivered in the field is documented and stored, in line with legal requirements and good practice.</w:t>
      </w:r>
    </w:p>
    <w:p>
      <w:pPr>
        <w:keepNext/>
        <w:spacing w:before="200" w:after="80"/>
      </w:pPr>
      <w:r>
        <w:rPr>
          <w:rFonts w:ascii="Calibri" w:hAnsi="Calibri"/>
          <w:b/>
          <w:color w:val="1F3864"/>
          <w:sz w:val="26"/>
        </w:rPr>
        <w:t>2. Purpose</w:t>
      </w:r>
    </w:p>
    <w:p>
      <w:pPr>
        <w:pStyle w:val="ListBullet"/>
        <w:spacing w:after="60"/>
      </w:pPr>
      <w:r>
        <w:t>ensure accurate, comprehensive documentation of field media projects;</w:t>
      </w:r>
    </w:p>
    <w:p>
      <w:pPr>
        <w:pStyle w:val="ListBullet"/>
        <w:spacing w:after="60"/>
      </w:pPr>
      <w:r>
        <w:t>maintain the integrity and security of media evidence;</w:t>
      </w:r>
    </w:p>
    <w:p>
      <w:pPr>
        <w:pStyle w:val="ListBullet"/>
        <w:spacing w:after="60"/>
      </w:pPr>
      <w:r>
        <w:t>comply with relevant Australian law; and</w:t>
      </w:r>
    </w:p>
    <w:p>
      <w:pPr>
        <w:pStyle w:val="ListBullet"/>
        <w:spacing w:after="60"/>
      </w:pPr>
      <w:r>
        <w:t>support effective project management and reporting.</w:t>
      </w:r>
    </w:p>
    <w:p>
      <w:pPr>
        <w:keepNext/>
        <w:spacing w:before="200" w:after="80"/>
      </w:pPr>
      <w:r>
        <w:rPr>
          <w:rFonts w:ascii="Calibri" w:hAnsi="Calibri"/>
          <w:b/>
          <w:color w:val="1F3864"/>
          <w:sz w:val="26"/>
        </w:rPr>
        <w:t>3. Scope</w:t>
      </w:r>
    </w:p>
    <w:p>
      <w:pPr>
        <w:jc w:val="both"/>
      </w:pPr>
      <w:r>
        <w:t>This policy applies to all employees, contractors, volunteers and partners involved in field media projects.</w:t>
      </w:r>
    </w:p>
    <w:p>
      <w:pPr>
        <w:keepNext/>
        <w:spacing w:before="200" w:after="80"/>
      </w:pPr>
      <w:r>
        <w:rPr>
          <w:rFonts w:ascii="Calibri" w:hAnsi="Calibri"/>
          <w:b/>
          <w:color w:val="1F3864"/>
          <w:sz w:val="26"/>
        </w:rPr>
        <w:t>4. Types of Evidence</w:t>
      </w:r>
    </w:p>
    <w:p>
      <w:pPr>
        <w:pStyle w:val="ListBullet"/>
        <w:spacing w:after="60"/>
      </w:pPr>
      <w:r>
        <w:t>photographs of activities, beneficiaries and outcomes;</w:t>
      </w:r>
    </w:p>
    <w:p>
      <w:pPr>
        <w:pStyle w:val="ListBullet"/>
        <w:spacing w:after="60"/>
      </w:pPr>
      <w:r>
        <w:t>video of key moments, interviews and impact stories;</w:t>
      </w:r>
    </w:p>
    <w:p>
      <w:pPr>
        <w:pStyle w:val="ListBullet"/>
        <w:spacing w:after="60"/>
      </w:pPr>
      <w:r>
        <w:t>audio recordings such as interviews and testimonials;</w:t>
      </w:r>
    </w:p>
    <w:p>
      <w:pPr>
        <w:pStyle w:val="ListBullet"/>
        <w:spacing w:after="60"/>
      </w:pPr>
      <w:r>
        <w:t>written reports of activities, outcomes and impact; and</w:t>
      </w:r>
    </w:p>
    <w:p>
      <w:pPr>
        <w:pStyle w:val="ListBullet"/>
        <w:spacing w:after="60"/>
      </w:pPr>
      <w:r>
        <w:t>supporting documents, including permissions and consent forms.</w:t>
      </w:r>
    </w:p>
    <w:p>
      <w:pPr>
        <w:keepNext/>
        <w:spacing w:before="200" w:after="80"/>
      </w:pPr>
      <w:r>
        <w:rPr>
          <w:rFonts w:ascii="Calibri" w:hAnsi="Calibri"/>
          <w:b/>
          <w:color w:val="1F3864"/>
          <w:sz w:val="26"/>
        </w:rPr>
        <w:t>5. Collection Procedures</w:t>
      </w:r>
    </w:p>
    <w:p>
      <w:pPr>
        <w:pStyle w:val="ListBullet"/>
        <w:spacing w:after="60"/>
      </w:pPr>
      <w:r>
        <w:t>Planning — define objectives and scope, obtain permissions and consent, and prepare equipment;</w:t>
      </w:r>
    </w:p>
    <w:p>
      <w:pPr>
        <w:pStyle w:val="ListBullet"/>
        <w:spacing w:after="60"/>
      </w:pPr>
      <w:r>
        <w:t>Collection — capture media in high quality, document dates, locations and descriptions, and collect consent forms; and</w:t>
      </w:r>
    </w:p>
    <w:p>
      <w:pPr>
        <w:pStyle w:val="ListBullet"/>
        <w:spacing w:after="60"/>
      </w:pPr>
      <w:r>
        <w:t>Ethics — respect the dignity and privacy of all individuals, fully inform participants about how media will be used, and avoid any harm or exploitation.</w:t>
      </w:r>
    </w:p>
    <w:p>
      <w:pPr>
        <w:keepNext/>
        <w:spacing w:before="200" w:after="80"/>
      </w:pPr>
      <w:r>
        <w:rPr>
          <w:rFonts w:ascii="Calibri" w:hAnsi="Calibri"/>
          <w:b/>
          <w:color w:val="1F3864"/>
          <w:sz w:val="26"/>
        </w:rPr>
        <w:t>6. Storage and Security</w:t>
      </w:r>
    </w:p>
    <w:p>
      <w:pPr>
        <w:pStyle w:val="ListBullet"/>
        <w:spacing w:after="60"/>
      </w:pPr>
      <w:r>
        <w:t>store digital media on secure, backed-up servers with encryption and password protection;</w:t>
      </w:r>
    </w:p>
    <w:p>
      <w:pPr>
        <w:pStyle w:val="ListBullet"/>
        <w:spacing w:after="60"/>
      </w:pPr>
      <w:r>
        <w:t>restrict access to authorised personnel; and</w:t>
      </w:r>
    </w:p>
    <w:p>
      <w:pPr>
        <w:pStyle w:val="ListBullet"/>
        <w:spacing w:after="60"/>
      </w:pPr>
      <w:r>
        <w:t>store physical media securely and maintain an asset log.</w:t>
      </w:r>
    </w:p>
    <w:p>
      <w:pPr>
        <w:keepNext/>
        <w:spacing w:before="200" w:after="80"/>
      </w:pPr>
      <w:r>
        <w:rPr>
          <w:rFonts w:ascii="Calibri" w:hAnsi="Calibri"/>
          <w:b/>
          <w:color w:val="1F3864"/>
          <w:sz w:val="26"/>
        </w:rPr>
        <w:t>7. Retention and Disposal</w:t>
      </w:r>
    </w:p>
    <w:p>
      <w:pPr>
        <w:pStyle w:val="ListBullet"/>
        <w:spacing w:after="60"/>
      </w:pPr>
      <w:r>
        <w:t>retain media evidence for the period required by law or policy (typically seven years); and</w:t>
      </w:r>
    </w:p>
    <w:p>
      <w:pPr>
        <w:pStyle w:val="ListBullet"/>
        <w:spacing w:after="60"/>
      </w:pPr>
      <w:r>
        <w:t>dispose of files securely when no longer needed.</w:t>
      </w:r>
    </w:p>
    <w:p>
      <w:pPr>
        <w:keepNext/>
        <w:spacing w:before="200" w:after="80"/>
      </w:pPr>
      <w:r>
        <w:rPr>
          <w:rFonts w:ascii="Calibri" w:hAnsi="Calibri"/>
          <w:b/>
          <w:color w:val="1F3864"/>
          <w:sz w:val="26"/>
        </w:rPr>
        <w:t>8. Responsibilities and Compliance</w:t>
      </w:r>
    </w:p>
    <w:p>
      <w:pPr>
        <w:pStyle w:val="ListBullet"/>
        <w:spacing w:after="60"/>
      </w:pPr>
      <w:r>
        <w:t>Management — oversees the policy, resources collection and storage and audits compliance;</w:t>
      </w:r>
    </w:p>
    <w:p>
      <w:pPr>
        <w:pStyle w:val="ListBullet"/>
        <w:spacing w:after="60"/>
      </w:pPr>
      <w:r>
        <w:t>Field media teams — collect and document evidence and protect its security; and</w:t>
      </w:r>
    </w:p>
    <w:p>
      <w:pPr>
        <w:pStyle w:val="ListBullet"/>
        <w:spacing w:after="60"/>
      </w:pPr>
      <w:r>
        <w:t>non-compliance may result in disciplinary action, and breaches must be reported immediately.</w:t>
      </w:r>
    </w:p>
    <w:p>
      <w:pPr>
        <w:keepNext/>
        <w:spacing w:before="200" w:after="80"/>
      </w:pPr>
      <w:r>
        <w:rPr>
          <w:rFonts w:ascii="Calibri" w:hAnsi="Calibri"/>
          <w:b/>
          <w:color w:val="1F3864"/>
          <w:sz w:val="26"/>
        </w:rPr>
        <w:t>9. Training and Review</w:t>
      </w:r>
    </w:p>
    <w:p>
      <w:pPr>
        <w:jc w:val="both"/>
      </w:pPr>
      <w:r>
        <w:t>Staff involved in field media receive regular training, and this policy is reviewed annually, or as required.</w:t>
      </w:r>
    </w:p>
    <w:p>
      <w:r>
        <w:rPr>
          <w:rFonts w:ascii="Calibri" w:hAnsi="Calibri"/>
          <w:i/>
          <w:color w:val="595959"/>
          <w:sz w:val="20"/>
        </w:rPr>
        <w:t>Approved by the Board on [Date].</w:t>
      </w:r>
    </w:p>
    <w:p/>
    <w:p>
      <w:pPr>
        <w:keepNext/>
        <w:spacing w:before="200" w:after="80"/>
      </w:pPr>
      <w:r>
        <w:rPr>
          <w:rFonts w:ascii="Calibri" w:hAnsi="Calibri"/>
          <w:b/>
          <w:color w:val="1F3864"/>
          <w:sz w:val="26"/>
        </w:rPr>
        <w:t>Approval &amp; Acknowledgement</w:t>
      </w:r>
    </w:p>
    <w:p>
      <w:pPr>
        <w:jc w:val="both"/>
      </w:pPr>
      <w:r>
        <w:t>This policy has been approved by the [Board of Directors / approving body] of [Organisation Name]. By signing below, the approving officer confirms the policy has been adopted and that staff and volunteers are required to comply with it.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Role</w:t>
            </w:r>
          </w:p>
        </w:tc>
        <w:tc>
          <w:tcPr>
            <w:tcW w:type="dxa" w:w="2340"/>
            <w:shd w:val="clear" w:color="auto" w:fill="1F3864"/>
          </w:tcPr>
          <w:p>
            <w:r>
              <w:rPr>
                <w:rFonts w:ascii="Calibri" w:hAnsi="Calibri"/>
                <w:b/>
                <w:color w:val="FFFFFF"/>
                <w:sz w:val="20"/>
              </w:rPr>
              <w:t>Name</w:t>
            </w:r>
          </w:p>
        </w:tc>
        <w:tc>
          <w:tcPr>
            <w:tcW w:type="dxa" w:w="2340"/>
            <w:shd w:val="clear" w:color="auto" w:fill="1F3864"/>
          </w:tcPr>
          <w:p>
            <w:r>
              <w:rPr>
                <w:rFonts w:ascii="Calibri" w:hAnsi="Calibri"/>
                <w:b/>
                <w:color w:val="FFFFFF"/>
                <w:sz w:val="20"/>
              </w:rPr>
              <w:t>Signature</w:t>
            </w:r>
          </w:p>
        </w:tc>
        <w:tc>
          <w:tcPr>
            <w:tcW w:type="dxa" w:w="2340"/>
            <w:shd w:val="clear" w:color="auto" w:fill="1F3864"/>
          </w:tcPr>
          <w:p>
            <w:r>
              <w:rPr>
                <w:rFonts w:ascii="Calibri" w:hAnsi="Calibri"/>
                <w:b/>
                <w:color w:val="FFFFFF"/>
                <w:sz w:val="20"/>
              </w:rPr>
              <w:t>Date</w:t>
            </w:r>
          </w:p>
        </w:tc>
      </w:tr>
      <w:tr>
        <w:tc>
          <w:tcPr>
            <w:tcW w:type="dxa" w:w="2340"/>
          </w:tcPr>
          <w:p>
            <w:r>
              <w:rPr>
                <w:rFonts w:ascii="Calibri" w:hAnsi="Calibri"/>
                <w:sz w:val="20"/>
              </w:rPr>
              <w:t>Approved by (Director / Chair)</w:t>
            </w:r>
          </w:p>
        </w:tc>
        <w:tc>
          <w:tcPr>
            <w:tcW w:type="dxa" w:w="2340"/>
          </w:tcPr>
          <w:p>
            <w:r>
              <w:rPr>
                <w:rFonts w:ascii="Calibri" w:hAnsi="Calibri"/>
                <w:sz w:val="20"/>
              </w:rPr>
            </w:r>
          </w:p>
        </w:tc>
        <w:tc>
          <w:tcPr>
            <w:tcW w:type="dxa" w:w="2340"/>
          </w:tcPr>
          <w:p>
            <w:r>
              <w:rPr>
                <w:rFonts w:ascii="Calibri" w:hAnsi="Calibri"/>
                <w:sz w:val="20"/>
              </w:rPr>
            </w:r>
          </w:p>
        </w:tc>
        <w:tc>
          <w:tcPr>
            <w:tcW w:type="dxa" w:w="2340"/>
          </w:tcPr>
          <w:p>
            <w:r>
              <w:rPr>
                <w:rFonts w:ascii="Calibri" w:hAnsi="Calibri"/>
                <w:sz w:val="20"/>
              </w:rPr>
            </w:r>
          </w:p>
        </w:tc>
      </w:tr>
      <w:tr>
        <w:tc>
          <w:tcPr>
            <w:tcW w:type="dxa" w:w="2340"/>
            <w:shd w:val="clear" w:color="auto" w:fill="F2F4F9"/>
          </w:tcPr>
          <w:p>
            <w:r>
              <w:rPr>
                <w:rFonts w:ascii="Calibri" w:hAnsi="Calibri"/>
                <w:sz w:val="20"/>
              </w:rPr>
              <w:t>Policy Owner</w:t>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r>
    </w:tbl>
    <w:p/>
    <w:p>
      <w:pPr>
        <w:keepNext/>
        <w:spacing w:before="200" w:after="80"/>
      </w:pPr>
      <w:r>
        <w:rPr>
          <w:rFonts w:ascii="Calibri" w:hAnsi="Calibri"/>
          <w:b/>
          <w:color w:val="1F3864"/>
          <w:sz w:val="26"/>
        </w:rPr>
        <w:t>Version History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Version</w:t>
            </w:r>
          </w:p>
        </w:tc>
        <w:tc>
          <w:tcPr>
            <w:tcW w:type="dxa" w:w="2340"/>
            <w:shd w:val="clear" w:color="auto" w:fill="1F3864"/>
          </w:tcPr>
          <w:p>
            <w:r>
              <w:rPr>
                <w:rFonts w:ascii="Calibri" w:hAnsi="Calibri"/>
                <w:b/>
                <w:color w:val="FFFFFF"/>
                <w:sz w:val="20"/>
              </w:rPr>
              <w:t>Date</w:t>
            </w:r>
          </w:p>
        </w:tc>
        <w:tc>
          <w:tcPr>
            <w:tcW w:type="dxa" w:w="2340"/>
            <w:shd w:val="clear" w:color="auto" w:fill="1F3864"/>
          </w:tcPr>
          <w:p>
            <w:r>
              <w:rPr>
                <w:rFonts w:ascii="Calibri" w:hAnsi="Calibri"/>
                <w:b/>
                <w:color w:val="FFFFFF"/>
                <w:sz w:val="20"/>
              </w:rPr>
              <w:t>Author / Reviser</w:t>
            </w:r>
          </w:p>
        </w:tc>
        <w:tc>
          <w:tcPr>
            <w:tcW w:type="dxa" w:w="2340"/>
            <w:shd w:val="clear" w:color="auto" w:fill="1F3864"/>
          </w:tcPr>
          <w:p>
            <w:r>
              <w:rPr>
                <w:rFonts w:ascii="Calibri" w:hAnsi="Calibri"/>
                <w:b/>
                <w:color w:val="FFFFFF"/>
                <w:sz w:val="20"/>
              </w:rPr>
              <w:t>Summary of Changes</w:t>
            </w:r>
          </w:p>
        </w:tc>
      </w:tr>
      <w:tr>
        <w:tc>
          <w:tcPr>
            <w:tcW w:type="dxa" w:w="1296"/>
          </w:tcPr>
          <w:p>
            <w:r>
              <w:rPr>
                <w:rFonts w:ascii="Calibri" w:hAnsi="Calibri"/>
                <w:sz w:val="20"/>
              </w:rPr>
              <w:t>1.0</w:t>
            </w:r>
          </w:p>
        </w:tc>
        <w:tc>
          <w:tcPr>
            <w:tcW w:type="dxa" w:w="1584"/>
          </w:tcPr>
          <w:p>
            <w:r>
              <w:rPr>
                <w:rFonts w:ascii="Calibri" w:hAnsi="Calibri"/>
                <w:sz w:val="20"/>
              </w:rPr>
              <w:t>[Date]</w:t>
            </w:r>
          </w:p>
        </w:tc>
        <w:tc>
          <w:tcPr>
            <w:tcW w:type="dxa" w:w="2880"/>
          </w:tcPr>
          <w:p>
            <w:r>
              <w:rPr>
                <w:rFonts w:ascii="Calibri" w:hAnsi="Calibri"/>
                <w:sz w:val="20"/>
              </w:rPr>
              <w:t>[Name]</w:t>
            </w:r>
          </w:p>
        </w:tc>
        <w:tc>
          <w:tcPr>
            <w:tcW w:type="dxa" w:w="3600"/>
          </w:tcPr>
          <w:p>
            <w:r>
              <w:rPr>
                <w:rFonts w:ascii="Calibri" w:hAnsi="Calibri"/>
                <w:sz w:val="20"/>
              </w:rPr>
              <w:t>Initial adoption of policy.</w:t>
            </w:r>
          </w:p>
        </w:tc>
      </w:tr>
      <w:tr>
        <w:tc>
          <w:tcPr>
            <w:tcW w:type="dxa" w:w="1296"/>
          </w:tcPr>
          <w:p>
            <w:r>
              <w:rPr>
                <w:rFonts w:ascii="Calibri" w:hAnsi="Calibri"/>
                <w:sz w:val="20"/>
              </w:rPr>
            </w:r>
          </w:p>
        </w:tc>
        <w:tc>
          <w:tcPr>
            <w:tcW w:type="dxa" w:w="1584"/>
          </w:tcPr>
          <w:p>
            <w:r>
              <w:rPr>
                <w:rFonts w:ascii="Calibri" w:hAnsi="Calibri"/>
                <w:sz w:val="20"/>
              </w:rPr>
            </w:r>
          </w:p>
        </w:tc>
        <w:tc>
          <w:tcPr>
            <w:tcW w:type="dxa" w:w="2880"/>
          </w:tcPr>
          <w:p>
            <w:r>
              <w:rPr>
                <w:rFonts w:ascii="Calibri" w:hAnsi="Calibri"/>
                <w:sz w:val="20"/>
              </w:rPr>
            </w:r>
          </w:p>
        </w:tc>
        <w:tc>
          <w:tcPr>
            <w:tcW w:type="dxa" w:w="3600"/>
          </w:tcPr>
          <w:p>
            <w:r>
              <w:rPr>
                <w:rFonts w:ascii="Calibri" w:hAnsi="Calibri"/>
                <w:sz w:val="20"/>
              </w:rPr>
            </w:r>
          </w:p>
        </w:tc>
      </w:tr>
    </w:tbl>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Field Media Project Delivery Evidence Policy  |  [Organisation Name]  |  Template — customise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