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FUNDRAISING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Fundraising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clear guidelines for fundraising by [Organisation Name], ensuring all efforts are ethical, transparent and compliant with Australian law, and protecting the organisation's integrity, reputation and public trust.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fundraising undertaken by or on behalf of [Organisation Name] — by employees, volunteers, contractors and third-party fundraisers — covering donations, grants, events, sponsorships, bequests and online campaigns.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Compliance and Legal Requirements</w:t>
      </w:r>
    </w:p>
    <w:p>
      <w:pPr>
        <w:jc w:val="both"/>
      </w:pPr>
      <w:r>
        <w:t>The organisation conducts fundraising in compliance with:</w:t>
      </w:r>
    </w:p>
    <w:p>
      <w:pPr>
        <w:pStyle w:val="ListBullet"/>
        <w:spacing w:after="60"/>
      </w:pPr>
      <w:r>
        <w:t>the Charitable Fundraising Act 1991 (NSW) and equivalent state and territory legislation;</w:t>
      </w:r>
    </w:p>
    <w:p>
      <w:pPr>
        <w:pStyle w:val="ListBullet"/>
        <w:spacing w:after="60"/>
      </w:pPr>
      <w:r>
        <w:t>the Australian Charities and Not-for-profits Commission Act 2012 (Cth);</w:t>
      </w:r>
    </w:p>
    <w:p>
      <w:pPr>
        <w:pStyle w:val="ListBullet"/>
        <w:spacing w:after="60"/>
      </w:pPr>
      <w:r>
        <w:t>the Australian Consumer Law;</w:t>
      </w:r>
    </w:p>
    <w:p>
      <w:pPr>
        <w:pStyle w:val="ListBullet"/>
        <w:spacing w:after="60"/>
      </w:pPr>
      <w:r>
        <w:t>the Privacy Act 1988 (Cth) for handling donor information; and</w:t>
      </w:r>
    </w:p>
    <w:p>
      <w:pPr>
        <w:pStyle w:val="ListBullet"/>
        <w:spacing w:after="60"/>
      </w:pPr>
      <w:r>
        <w:t>any other relevant federal, state or local laws.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Fundraising Principles</w:t>
      </w:r>
    </w:p>
    <w:p>
      <w:pPr>
        <w:pStyle w:val="ListBullet"/>
        <w:spacing w:after="60"/>
      </w:pPr>
      <w:r>
        <w:t>Transparency and accountability — clear communication about how funds are used and timely reporting;</w:t>
      </w:r>
    </w:p>
    <w:p>
      <w:pPr>
        <w:pStyle w:val="ListBullet"/>
        <w:spacing w:after="60"/>
      </w:pPr>
      <w:r>
        <w:t>Ethical conduct — no misleading or deceptive conduct, and no exploitation of vulnerable people;</w:t>
      </w:r>
    </w:p>
    <w:p>
      <w:pPr>
        <w:pStyle w:val="ListBullet"/>
        <w:spacing w:after="60"/>
      </w:pPr>
      <w:r>
        <w:t>Respect for donors — privacy, opt-out options and timely acknowledgement;</w:t>
      </w:r>
    </w:p>
    <w:p>
      <w:pPr>
        <w:pStyle w:val="ListBullet"/>
        <w:spacing w:after="60"/>
      </w:pPr>
      <w:r>
        <w:t>Use of funds — applying funds to the purpose for which they were raised and minimising administrative cost; and</w:t>
      </w:r>
    </w:p>
    <w:p>
      <w:pPr>
        <w:pStyle w:val="ListBullet"/>
        <w:spacing w:after="60"/>
      </w:pPr>
      <w:r>
        <w:t>Third-party fundraisers — due diligence and holding them to the same standards.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Fundraising Activities</w:t>
      </w:r>
    </w:p>
    <w:p>
      <w:pPr>
        <w:pStyle w:val="ListBullet"/>
        <w:spacing w:after="60"/>
      </w:pPr>
      <w:r>
        <w:t>Donations — clear tax-deductibility information and proper receipting and recording;</w:t>
      </w:r>
    </w:p>
    <w:p>
      <w:pPr>
        <w:pStyle w:val="ListBullet"/>
        <w:spacing w:after="60"/>
      </w:pPr>
      <w:r>
        <w:t>Grants — accurate applications and use of funds strictly per grant terms;</w:t>
      </w:r>
    </w:p>
    <w:p>
      <w:pPr>
        <w:pStyle w:val="ListBullet"/>
        <w:spacing w:after="60"/>
      </w:pPr>
      <w:r>
        <w:t>Events — necessary permits, insurance and risk management;</w:t>
      </w:r>
    </w:p>
    <w:p>
      <w:pPr>
        <w:pStyle w:val="ListBullet"/>
        <w:spacing w:after="60"/>
      </w:pPr>
      <w:r>
        <w:t>Sponsorships — documented agreements that avoid conflicts of interest and align with values;</w:t>
      </w:r>
    </w:p>
    <w:p>
      <w:pPr>
        <w:pStyle w:val="ListBullet"/>
        <w:spacing w:after="60"/>
      </w:pPr>
      <w:r>
        <w:t>Bequests — respectful information and honouring the donor's wishes; and</w:t>
      </w:r>
    </w:p>
    <w:p>
      <w:pPr>
        <w:pStyle w:val="ListBullet"/>
        <w:spacing w:after="60"/>
      </w:pPr>
      <w:r>
        <w:t>Online — secure platforms that comply with privacy and data protection law.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Financial Management</w:t>
      </w:r>
    </w:p>
    <w:p>
      <w:pPr>
        <w:pStyle w:val="ListBullet"/>
        <w:spacing w:after="60"/>
      </w:pPr>
      <w:r>
        <w:t>all funds are deposited to the organisation's bank account and recorded;</w:t>
      </w:r>
    </w:p>
    <w:p>
      <w:pPr>
        <w:pStyle w:val="ListBullet"/>
        <w:spacing w:after="60"/>
      </w:pPr>
      <w:r>
        <w:t>fundraising income and expenditure are reported separately; and</w:t>
      </w:r>
    </w:p>
    <w:p>
      <w:pPr>
        <w:pStyle w:val="ListBullet"/>
        <w:spacing w:after="60"/>
      </w:pPr>
      <w:r>
        <w:t>fundraising costs are kept reasonable and proportionate to income.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Governance and Oversight</w:t>
      </w:r>
    </w:p>
    <w:p>
      <w:pPr>
        <w:pStyle w:val="ListBullet"/>
        <w:spacing w:after="60"/>
      </w:pPr>
      <w:r>
        <w:t>the Board oversees fundraising and compliance with this policy;</w:t>
      </w:r>
    </w:p>
    <w:p>
      <w:pPr>
        <w:pStyle w:val="ListBullet"/>
        <w:spacing w:after="60"/>
      </w:pPr>
      <w:r>
        <w:t>the Board regularly reviews strategy and performance; and</w:t>
      </w:r>
    </w:p>
    <w:p>
      <w:pPr>
        <w:pStyle w:val="ListBullet"/>
        <w:spacing w:after="60"/>
      </w:pPr>
      <w:r>
        <w:t>the Board approves significant or novel fundraising activities or partnerships.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Complaints and Review</w:t>
      </w:r>
    </w:p>
    <w:p>
      <w:pPr>
        <w:jc w:val="both"/>
      </w:pPr>
      <w:r>
        <w:t>Feedback is encouraged and complaints are handled promptly under the Complaints Handling Policy, with records maintained. The policy is reviewed annually, with changes approved by the Board.</w:t>
      </w:r>
    </w:p>
    <w:p>
      <w:r>
        <w:rPr>
          <w:rFonts w:ascii="Calibri" w:hAnsi="Calibri"/>
          <w:i/>
          <w:color w:val="595959"/>
          <w:sz w:val="20"/>
        </w:rPr>
        <w:t>Related: Privacy Policy, Code of Conduct, Complaints Handling Policy, Financial Management Policy, Risk Management Policy.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Fundraising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