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OPERATIONAL PROCEDURES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Operational Procedures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This policy establishes clear operational procedures for [Organisation Name] to ensure efficient, transparent and ethical operations. It applies to all employees, volunteers, directors and partners.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Governance and Management</w:t>
      </w:r>
    </w:p>
    <w:p>
      <w:pPr>
        <w:pStyle w:val="ListBullet"/>
        <w:spacing w:after="60"/>
      </w:pPr>
      <w:r>
        <w:t>Board of Directors — sets strategy, oversees finances and monitors compliance; meets at least quarterly with a defined quorum and securely stored minutes;</w:t>
      </w:r>
    </w:p>
    <w:p>
      <w:pPr>
        <w:pStyle w:val="ListBullet"/>
        <w:spacing w:after="60"/>
      </w:pPr>
      <w:r>
        <w:t>Executive leadership — the CEO/Executive Director manages daily operations, implements Board decisions and reports to the Board; and</w:t>
      </w:r>
    </w:p>
    <w:p>
      <w:pPr>
        <w:pStyle w:val="ListBullet"/>
        <w:spacing w:after="60"/>
      </w:pPr>
      <w:r>
        <w:t>Organisational structure — an organisation chart documents hierarchy and reporting lines.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Financial Management</w:t>
      </w:r>
    </w:p>
    <w:p>
      <w:pPr>
        <w:pStyle w:val="ListBullet"/>
        <w:spacing w:after="60"/>
      </w:pPr>
      <w:r>
        <w:t>the Executive Director and Treasurer prepare an annual budget for Board approval;</w:t>
      </w:r>
    </w:p>
    <w:p>
      <w:pPr>
        <w:pStyle w:val="ListBullet"/>
        <w:spacing w:after="60"/>
      </w:pPr>
      <w:r>
        <w:t>financial records follow relevant accounting standards with timely, accurate record-keeping;</w:t>
      </w:r>
    </w:p>
    <w:p>
      <w:pPr>
        <w:pStyle w:val="ListBullet"/>
        <w:spacing w:after="60"/>
      </w:pPr>
      <w:r>
        <w:t>internal and external audits are conducted and reviewed by the Board; and</w:t>
      </w:r>
    </w:p>
    <w:p>
      <w:pPr>
        <w:pStyle w:val="ListBullet"/>
        <w:spacing w:after="60"/>
      </w:pPr>
      <w:r>
        <w:t>donations, grants and other funding are managed in line with donor intentions and agreements.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Human Resources</w:t>
      </w:r>
    </w:p>
    <w:p>
      <w:pPr>
        <w:pStyle w:val="ListBullet"/>
        <w:spacing w:after="60"/>
      </w:pPr>
      <w:r>
        <w:t>non-discriminatory recruitment with mandatory background checks;</w:t>
      </w:r>
    </w:p>
    <w:p>
      <w:pPr>
        <w:pStyle w:val="ListBullet"/>
        <w:spacing w:after="60"/>
      </w:pPr>
      <w:r>
        <w:t>orientation and ongoing training for new hires;</w:t>
      </w:r>
    </w:p>
    <w:p>
      <w:pPr>
        <w:pStyle w:val="ListBullet"/>
        <w:spacing w:after="60"/>
      </w:pPr>
      <w:r>
        <w:t>annual performance appraisals and formal feedback mechanisms; and</w:t>
      </w:r>
    </w:p>
    <w:p>
      <w:pPr>
        <w:pStyle w:val="ListBullet"/>
        <w:spacing w:after="60"/>
      </w:pPr>
      <w:r>
        <w:t>a code of conduct setting behavioural standards and disciplinary procedures.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Volunteer Management</w:t>
      </w:r>
    </w:p>
    <w:p>
      <w:pPr>
        <w:pStyle w:val="ListBullet"/>
        <w:spacing w:after="60"/>
      </w:pPr>
      <w:r>
        <w:t>structured volunteer recruitment and onboarding;</w:t>
      </w:r>
    </w:p>
    <w:p>
      <w:pPr>
        <w:pStyle w:val="ListBullet"/>
        <w:spacing w:after="60"/>
      </w:pPr>
      <w:r>
        <w:t>clear role descriptions and expectations; and</w:t>
      </w:r>
    </w:p>
    <w:p>
      <w:pPr>
        <w:pStyle w:val="ListBullet"/>
        <w:spacing w:after="60"/>
      </w:pPr>
      <w:r>
        <w:t>programs to support and recognise volunteer contributions.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Program and Service Delivery</w:t>
      </w:r>
    </w:p>
    <w:p>
      <w:pPr>
        <w:pStyle w:val="ListBullet"/>
        <w:spacing w:after="60"/>
      </w:pPr>
      <w:r>
        <w:t>programs are designed on needs assessments and Board-approved;</w:t>
      </w:r>
    </w:p>
    <w:p>
      <w:pPr>
        <w:pStyle w:val="ListBullet"/>
        <w:spacing w:after="60"/>
      </w:pPr>
      <w:r>
        <w:t>services are delivered to high standards; and</w:t>
      </w:r>
    </w:p>
    <w:p>
      <w:pPr>
        <w:pStyle w:val="ListBullet"/>
        <w:spacing w:after="60"/>
      </w:pPr>
      <w:r>
        <w:t>effectiveness and impact are evaluated regularly.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 and Legal Obligations</w:t>
      </w:r>
    </w:p>
    <w:p>
      <w:pPr>
        <w:pStyle w:val="ListBullet"/>
        <w:spacing w:after="60"/>
      </w:pPr>
      <w:r>
        <w:t>comply with all relevant Australian law and regulation;</w:t>
      </w:r>
    </w:p>
    <w:p>
      <w:pPr>
        <w:pStyle w:val="ListBullet"/>
        <w:spacing w:after="60"/>
      </w:pPr>
      <w:r>
        <w:t>maintain tax-exempt status and meet reporting requirements; and</w:t>
      </w:r>
    </w:p>
    <w:p>
      <w:pPr>
        <w:pStyle w:val="ListBullet"/>
        <w:spacing w:after="60"/>
      </w:pPr>
      <w:r>
        <w:t>hold adequate insurance for property, liability and employee risks.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Risk Management</w:t>
      </w:r>
    </w:p>
    <w:p>
      <w:pPr>
        <w:pStyle w:val="ListBullet"/>
        <w:spacing w:after="60"/>
      </w:pPr>
      <w:r>
        <w:t>identify and evaluate risks regularly;</w:t>
      </w:r>
    </w:p>
    <w:p>
      <w:pPr>
        <w:pStyle w:val="ListBullet"/>
        <w:spacing w:after="60"/>
      </w:pPr>
      <w:r>
        <w:t>implement mitigation measures; and</w:t>
      </w:r>
    </w:p>
    <w:p>
      <w:pPr>
        <w:pStyle w:val="ListBullet"/>
        <w:spacing w:after="60"/>
      </w:pPr>
      <w:r>
        <w:t>maintain crisis management protocols.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Communications and Public Relations</w:t>
      </w:r>
    </w:p>
    <w:p>
      <w:pPr>
        <w:pStyle w:val="ListBullet"/>
        <w:spacing w:after="60"/>
      </w:pPr>
      <w:r>
        <w:t>maintain effective internal communication channels;</w:t>
      </w:r>
    </w:p>
    <w:p>
      <w:pPr>
        <w:pStyle w:val="ListBullet"/>
        <w:spacing w:after="60"/>
      </w:pPr>
      <w:r>
        <w:t>follow guidelines for media and public statements; and</w:t>
      </w:r>
    </w:p>
    <w:p>
      <w:pPr>
        <w:pStyle w:val="ListBullet"/>
        <w:spacing w:after="60"/>
      </w:pPr>
      <w:r>
        <w:t>ensure marketing and fundraising meet ethical standards.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IT and Data Management</w:t>
      </w:r>
    </w:p>
    <w:p>
      <w:pPr>
        <w:pStyle w:val="ListBullet"/>
        <w:spacing w:after="60"/>
      </w:pPr>
      <w:r>
        <w:t>maintain and secure IT infrastructure;</w:t>
      </w:r>
    </w:p>
    <w:p>
      <w:pPr>
        <w:pStyle w:val="ListBullet"/>
        <w:spacing w:after="60"/>
      </w:pPr>
      <w:r>
        <w:t>protect the confidentiality and privacy of donor and beneficiary information; and</w:t>
      </w:r>
    </w:p>
    <w:p>
      <w:pPr>
        <w:pStyle w:val="ListBullet"/>
        <w:spacing w:after="60"/>
      </w:pPr>
      <w:r>
        <w:t>manage records and disposal in line with legal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11. Health and Safety</w:t>
      </w:r>
    </w:p>
    <w:p>
      <w:pPr>
        <w:pStyle w:val="ListBullet"/>
        <w:spacing w:after="60"/>
      </w:pPr>
      <w:r>
        <w:t>provide a safe working environment for staff and volunteers;</w:t>
      </w:r>
    </w:p>
    <w:p>
      <w:pPr>
        <w:pStyle w:val="ListBullet"/>
        <w:spacing w:after="60"/>
      </w:pPr>
      <w:r>
        <w:t>safeguard the wellbeing of beneficiaries during delivery; and</w:t>
      </w:r>
    </w:p>
    <w:p>
      <w:pPr>
        <w:pStyle w:val="ListBullet"/>
        <w:spacing w:after="60"/>
      </w:pPr>
      <w:r>
        <w:t>maintain emergency procedures for fire, medical and other incidents.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12. Review and Continuous Improvement</w:t>
      </w:r>
    </w:p>
    <w:p>
      <w:pPr>
        <w:jc w:val="both"/>
      </w:pPr>
      <w:r>
        <w:t>Operational procedures are reviewed and updated annually, drawing on feedback from staff, volunteers and beneficiaries, with a commitment to ongoing improvement.</w:t>
      </w:r>
    </w:p>
    <w:p>
      <w:r>
        <w:rPr>
          <w:rFonts w:ascii="Calibri" w:hAnsi="Calibri"/>
          <w:i/>
          <w:color w:val="595959"/>
          <w:sz w:val="20"/>
        </w:rPr>
        <w:t>Appendices: glossary of terms; standard forms and templates; key contacts; and an approval and revision history.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Operational Procedures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