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3864"/>
          <w:sz w:val="40"/>
        </w:rPr>
        <w:t>ANTI-MONEY LAUNDERING, COUNTER-TERRORISM FINANCING AND FINANCIAL FRAUD POLICY</w:t>
      </w:r>
    </w:p>
    <w:p>
      <w:pPr>
        <w:jc w:val="center"/>
        <w:pBdr>
          <w:bottom w:val="single" w:sz="6" w:space="1" w:color="1F3864"/>
        </w:pBdr>
      </w:pPr>
      <w:r>
        <w:rPr>
          <w:rFonts w:ascii="Calibri" w:hAnsi="Calibri"/>
          <w:i/>
          <w:color w:val="595959"/>
          <w:sz w:val="24"/>
        </w:rPr>
        <w:t>[Organisation Name]</w:t>
      </w:r>
    </w:p>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6480"/>
      </w:tblGrid>
      <w:tr>
        <w:tc>
          <w:tcPr>
            <w:tcW w:type="dxa" w:w="2880"/>
            <w:shd w:val="clear" w:color="auto" w:fill="E8ECF4"/>
          </w:tcPr>
          <w:p>
            <w:r>
              <w:rPr>
                <w:rFonts w:ascii="Calibri" w:hAnsi="Calibri"/>
                <w:b/>
                <w:color w:val="1F3864"/>
                <w:sz w:val="20"/>
              </w:rPr>
              <w:t>Policy Title</w:t>
            </w:r>
          </w:p>
        </w:tc>
        <w:tc>
          <w:tcPr>
            <w:tcW w:type="dxa" w:w="6480"/>
          </w:tcPr>
          <w:p>
            <w:r>
              <w:rPr>
                <w:rFonts w:ascii="Calibri" w:hAnsi="Calibri"/>
                <w:sz w:val="20"/>
              </w:rPr>
              <w:t>Anti-Money Laundering, Counter-Terrorism Financing and Financial Fraud Policy</w:t>
            </w:r>
          </w:p>
        </w:tc>
      </w:tr>
      <w:tr>
        <w:tc>
          <w:tcPr>
            <w:tcW w:type="dxa" w:w="2880"/>
            <w:shd w:val="clear" w:color="auto" w:fill="E8ECF4"/>
          </w:tcPr>
          <w:p>
            <w:r>
              <w:rPr>
                <w:rFonts w:ascii="Calibri" w:hAnsi="Calibri"/>
                <w:b/>
                <w:color w:val="1F3864"/>
                <w:sz w:val="20"/>
              </w:rPr>
              <w:t>Organisation</w:t>
            </w:r>
          </w:p>
        </w:tc>
        <w:tc>
          <w:tcPr>
            <w:tcW w:type="dxa" w:w="6480"/>
          </w:tcPr>
          <w:p>
            <w:r>
              <w:rPr>
                <w:rFonts w:ascii="Calibri" w:hAnsi="Calibri"/>
                <w:sz w:val="20"/>
              </w:rPr>
              <w:t>[Organisation Name]</w:t>
            </w:r>
          </w:p>
        </w:tc>
      </w:tr>
      <w:tr>
        <w:tc>
          <w:tcPr>
            <w:tcW w:type="dxa" w:w="2880"/>
            <w:shd w:val="clear" w:color="auto" w:fill="E8ECF4"/>
          </w:tcPr>
          <w:p>
            <w:r>
              <w:rPr>
                <w:rFonts w:ascii="Calibri" w:hAnsi="Calibri"/>
                <w:b/>
                <w:color w:val="1F3864"/>
                <w:sz w:val="20"/>
              </w:rPr>
              <w:t>Policy Owner</w:t>
            </w:r>
          </w:p>
        </w:tc>
        <w:tc>
          <w:tcPr>
            <w:tcW w:type="dxa" w:w="6480"/>
          </w:tcPr>
          <w:p>
            <w:r>
              <w:rPr>
                <w:rFonts w:ascii="Calibri" w:hAnsi="Calibri"/>
                <w:sz w:val="20"/>
              </w:rPr>
              <w:t>[Position Title]</w:t>
            </w:r>
          </w:p>
        </w:tc>
      </w:tr>
      <w:tr>
        <w:tc>
          <w:tcPr>
            <w:tcW w:type="dxa" w:w="2880"/>
            <w:shd w:val="clear" w:color="auto" w:fill="E8ECF4"/>
          </w:tcPr>
          <w:p>
            <w:r>
              <w:rPr>
                <w:rFonts w:ascii="Calibri" w:hAnsi="Calibri"/>
                <w:b/>
                <w:color w:val="1F3864"/>
                <w:sz w:val="20"/>
              </w:rPr>
              <w:t>Approved By</w:t>
            </w:r>
          </w:p>
        </w:tc>
        <w:tc>
          <w:tcPr>
            <w:tcW w:type="dxa" w:w="6480"/>
          </w:tcPr>
          <w:p>
            <w:r>
              <w:rPr>
                <w:rFonts w:ascii="Calibri" w:hAnsi="Calibri"/>
                <w:sz w:val="20"/>
              </w:rPr>
              <w:t>[Board of Directors / Position Title]</w:t>
            </w:r>
          </w:p>
        </w:tc>
      </w:tr>
      <w:tr>
        <w:tc>
          <w:tcPr>
            <w:tcW w:type="dxa" w:w="2880"/>
            <w:shd w:val="clear" w:color="auto" w:fill="E8ECF4"/>
          </w:tcPr>
          <w:p>
            <w:r>
              <w:rPr>
                <w:rFonts w:ascii="Calibri" w:hAnsi="Calibri"/>
                <w:b/>
                <w:color w:val="1F3864"/>
                <w:sz w:val="20"/>
              </w:rPr>
              <w:t>Version</w:t>
            </w:r>
          </w:p>
        </w:tc>
        <w:tc>
          <w:tcPr>
            <w:tcW w:type="dxa" w:w="6480"/>
          </w:tcPr>
          <w:p>
            <w:r>
              <w:rPr>
                <w:rFonts w:ascii="Calibri" w:hAnsi="Calibri"/>
                <w:sz w:val="20"/>
              </w:rPr>
              <w:t>[1.0]</w:t>
            </w:r>
          </w:p>
        </w:tc>
      </w:tr>
      <w:tr>
        <w:tc>
          <w:tcPr>
            <w:tcW w:type="dxa" w:w="2880"/>
            <w:shd w:val="clear" w:color="auto" w:fill="E8ECF4"/>
          </w:tcPr>
          <w:p>
            <w:r>
              <w:rPr>
                <w:rFonts w:ascii="Calibri" w:hAnsi="Calibri"/>
                <w:b/>
                <w:color w:val="1F3864"/>
                <w:sz w:val="20"/>
              </w:rPr>
              <w:t>Effective Date</w:t>
            </w:r>
          </w:p>
        </w:tc>
        <w:tc>
          <w:tcPr>
            <w:tcW w:type="dxa" w:w="6480"/>
          </w:tcPr>
          <w:p>
            <w:r>
              <w:rPr>
                <w:rFonts w:ascii="Calibri" w:hAnsi="Calibri"/>
                <w:sz w:val="20"/>
              </w:rPr>
              <w:t>[Date]</w:t>
            </w:r>
          </w:p>
        </w:tc>
      </w:tr>
      <w:tr>
        <w:tc>
          <w:tcPr>
            <w:tcW w:type="dxa" w:w="2880"/>
            <w:shd w:val="clear" w:color="auto" w:fill="E8ECF4"/>
          </w:tcPr>
          <w:p>
            <w:r>
              <w:rPr>
                <w:rFonts w:ascii="Calibri" w:hAnsi="Calibri"/>
                <w:b/>
                <w:color w:val="1F3864"/>
                <w:sz w:val="20"/>
              </w:rPr>
              <w:t>Next Review Date</w:t>
            </w:r>
          </w:p>
        </w:tc>
        <w:tc>
          <w:tcPr>
            <w:tcW w:type="dxa" w:w="6480"/>
          </w:tcPr>
          <w:p>
            <w:r>
              <w:rPr>
                <w:rFonts w:ascii="Calibri" w:hAnsi="Calibri"/>
                <w:sz w:val="20"/>
              </w:rPr>
              <w:t>[Date — annual review recommended]</w:t>
            </w:r>
          </w:p>
        </w:tc>
      </w:tr>
    </w:tbl>
    <w:p/>
    <w:p>
      <w:pPr>
        <w:keepNext/>
        <w:spacing w:before="200" w:after="80"/>
      </w:pPr>
      <w:r>
        <w:rPr>
          <w:rFonts w:ascii="Calibri" w:hAnsi="Calibri"/>
          <w:b/>
          <w:color w:val="1F3864"/>
          <w:sz w:val="26"/>
        </w:rPr>
        <w:t>1. Introduction</w:t>
      </w:r>
    </w:p>
    <w:p>
      <w:pPr>
        <w:jc w:val="both"/>
      </w:pPr>
      <w:r>
        <w:t>[Organisation Name] is committed to preventing money laundering, the financing of terrorism and financial fraud. This policy sets out the controls and responsibilities in place to ensure the organisation meets its obligations under Australian law.</w:t>
      </w:r>
    </w:p>
    <w:p>
      <w:pPr>
        <w:keepNext/>
        <w:spacing w:before="200" w:after="80"/>
      </w:pPr>
      <w:r>
        <w:rPr>
          <w:rFonts w:ascii="Calibri" w:hAnsi="Calibri"/>
          <w:b/>
          <w:color w:val="1F3864"/>
          <w:sz w:val="26"/>
        </w:rPr>
        <w:t>2. Purpose</w:t>
      </w:r>
    </w:p>
    <w:p>
      <w:pPr>
        <w:jc w:val="both"/>
      </w:pPr>
      <w:r>
        <w:t>This policy is intended to:</w:t>
      </w:r>
    </w:p>
    <w:p>
      <w:pPr>
        <w:pStyle w:val="ListBullet"/>
        <w:spacing w:after="60"/>
      </w:pPr>
      <w:r>
        <w:t>Prevent the organisation's resources from being used for money laundering or terrorism financing;</w:t>
      </w:r>
    </w:p>
    <w:p>
      <w:pPr>
        <w:pStyle w:val="ListBullet"/>
        <w:spacing w:after="60"/>
      </w:pPr>
      <w:r>
        <w:t>Identify, detect and report suspicious activity connected with financial fraud;</w:t>
      </w:r>
    </w:p>
    <w:p>
      <w:pPr>
        <w:pStyle w:val="ListBullet"/>
        <w:spacing w:after="60"/>
      </w:pPr>
      <w:r>
        <w:t>Support compliance with the Anti-Money Laundering and Counter-Terrorism Financing Act 2006 (Cth); and</w:t>
      </w:r>
    </w:p>
    <w:p>
      <w:pPr>
        <w:pStyle w:val="ListBullet"/>
        <w:spacing w:after="60"/>
      </w:pPr>
      <w:r>
        <w:t>Protect the integrity and reputation of [Organisation Name].</w:t>
      </w:r>
    </w:p>
    <w:p>
      <w:pPr>
        <w:keepNext/>
        <w:spacing w:before="200" w:after="80"/>
      </w:pPr>
      <w:r>
        <w:rPr>
          <w:rFonts w:ascii="Calibri" w:hAnsi="Calibri"/>
          <w:b/>
          <w:color w:val="1F3864"/>
          <w:sz w:val="26"/>
        </w:rPr>
        <w:t>3. Scope</w:t>
      </w:r>
    </w:p>
    <w:p>
      <w:pPr>
        <w:jc w:val="both"/>
      </w:pPr>
      <w:r>
        <w:t>This policy applies to all employees, volunteers, contractors and partners of [Organisation Name].</w:t>
      </w:r>
    </w:p>
    <w:p>
      <w:pPr>
        <w:keepNext/>
        <w:spacing w:before="200" w:after="80"/>
      </w:pPr>
      <w:r>
        <w:rPr>
          <w:rFonts w:ascii="Calibri" w:hAnsi="Calibri"/>
          <w:b/>
          <w:color w:val="1F3864"/>
          <w:sz w:val="26"/>
        </w:rPr>
        <w:t>4. Definitions</w:t>
      </w:r>
    </w:p>
    <w:p>
      <w:pPr>
        <w:pStyle w:val="ListBullet"/>
        <w:spacing w:after="60"/>
      </w:pPr>
      <w:r>
        <w:t>Money Laundering — the process of disguising the illegal origins of funds so that they appear legitimate.</w:t>
      </w:r>
    </w:p>
    <w:p>
      <w:pPr>
        <w:pStyle w:val="ListBullet"/>
        <w:spacing w:after="60"/>
      </w:pPr>
      <w:r>
        <w:t>Terrorism Financing — providing or facilitating funds or financial support for terrorist acts or organisations.</w:t>
      </w:r>
    </w:p>
    <w:p>
      <w:pPr>
        <w:pStyle w:val="ListBullet"/>
        <w:spacing w:after="60"/>
      </w:pPr>
      <w:r>
        <w:t>Financial Fraud — any deliberate act of deception carried out to obtain an unfair or unlawful financial gain.</w:t>
      </w:r>
    </w:p>
    <w:p>
      <w:pPr>
        <w:keepNext/>
        <w:spacing w:before="200" w:after="80"/>
      </w:pPr>
      <w:r>
        <w:rPr>
          <w:rFonts w:ascii="Calibri" w:hAnsi="Calibri"/>
          <w:b/>
          <w:color w:val="1F3864"/>
          <w:sz w:val="26"/>
        </w:rPr>
        <w:t>5. Responsibilities</w:t>
      </w:r>
    </w:p>
    <w:p>
      <w:pPr>
        <w:spacing w:before="80"/>
      </w:pPr>
      <w:r>
        <w:rPr>
          <w:rFonts w:ascii="Calibri" w:hAnsi="Calibri"/>
          <w:b/>
          <w:i/>
          <w:color w:val="1F3864"/>
          <w:sz w:val="22"/>
        </w:rPr>
        <w:t>Management</w:t>
      </w:r>
    </w:p>
    <w:p>
      <w:pPr>
        <w:pStyle w:val="ListBullet"/>
        <w:spacing w:after="60"/>
      </w:pPr>
      <w:r>
        <w:t>Implement this policy and oversee compliance with it;</w:t>
      </w:r>
    </w:p>
    <w:p>
      <w:pPr>
        <w:pStyle w:val="ListBullet"/>
        <w:spacing w:after="60"/>
      </w:pPr>
      <w:r>
        <w:t>Provide appropriate training and resources to staff and volunteers; and</w:t>
      </w:r>
    </w:p>
    <w:p>
      <w:pPr>
        <w:pStyle w:val="ListBullet"/>
        <w:spacing w:after="60"/>
      </w:pPr>
      <w:r>
        <w:t>Monitor and review the effectiveness of the organisation's prevention measures.</w:t>
      </w:r>
    </w:p>
    <w:p>
      <w:pPr>
        <w:spacing w:before="80"/>
      </w:pPr>
      <w:r>
        <w:rPr>
          <w:rFonts w:ascii="Calibri" w:hAnsi="Calibri"/>
          <w:b/>
          <w:i/>
          <w:color w:val="1F3864"/>
          <w:sz w:val="22"/>
        </w:rPr>
        <w:t>Staff and Volunteers</w:t>
      </w:r>
    </w:p>
    <w:p>
      <w:pPr>
        <w:pStyle w:val="ListBullet"/>
        <w:spacing w:after="60"/>
      </w:pPr>
      <w:r>
        <w:t>Follow the requirements set out in this policy;</w:t>
      </w:r>
    </w:p>
    <w:p>
      <w:pPr>
        <w:pStyle w:val="ListBullet"/>
        <w:spacing w:after="60"/>
      </w:pPr>
      <w:r>
        <w:t>Report any suspicious activity or concerns to the designated officer; and</w:t>
      </w:r>
    </w:p>
    <w:p>
      <w:pPr>
        <w:pStyle w:val="ListBullet"/>
        <w:spacing w:after="60"/>
      </w:pPr>
      <w:r>
        <w:t>Complete the required training on money laundering, terrorism financing and fraud prevention.</w:t>
      </w:r>
    </w:p>
    <w:p>
      <w:pPr>
        <w:keepNext/>
        <w:spacing w:before="200" w:after="80"/>
      </w:pPr>
      <w:r>
        <w:rPr>
          <w:rFonts w:ascii="Calibri" w:hAnsi="Calibri"/>
          <w:b/>
          <w:color w:val="1F3864"/>
          <w:sz w:val="26"/>
        </w:rPr>
        <w:t>6. Risk Assessment</w:t>
      </w:r>
    </w:p>
    <w:p>
      <w:pPr>
        <w:jc w:val="both"/>
      </w:pPr>
      <w:r>
        <w:t>[Organisation Name] will carry out regular risk assessments to identify, understand and reduce the risks of money laundering, terrorism financing and financial fraud across its activities.</w:t>
      </w:r>
    </w:p>
    <w:p>
      <w:pPr>
        <w:keepNext/>
        <w:spacing w:before="200" w:after="80"/>
      </w:pPr>
      <w:r>
        <w:rPr>
          <w:rFonts w:ascii="Calibri" w:hAnsi="Calibri"/>
          <w:b/>
          <w:color w:val="1F3864"/>
          <w:sz w:val="26"/>
        </w:rPr>
        <w:t>7. Customer / Donor Due Diligence</w:t>
      </w:r>
    </w:p>
    <w:p>
      <w:pPr>
        <w:pStyle w:val="ListBullet"/>
        <w:spacing w:after="60"/>
      </w:pPr>
      <w:r>
        <w:t>Verify the identity of donors, partners and beneficiaries where appropriate;</w:t>
      </w:r>
    </w:p>
    <w:p>
      <w:pPr>
        <w:pStyle w:val="ListBullet"/>
        <w:spacing w:after="60"/>
      </w:pPr>
      <w:r>
        <w:t>Collect and retain accurate identity records; and</w:t>
      </w:r>
    </w:p>
    <w:p>
      <w:pPr>
        <w:pStyle w:val="ListBullet"/>
        <w:spacing w:after="60"/>
      </w:pPr>
      <w:r>
        <w:t>Apply enhanced due diligence where an individual or entity is assessed as higher risk.</w:t>
      </w:r>
    </w:p>
    <w:p>
      <w:pPr>
        <w:keepNext/>
        <w:spacing w:before="200" w:after="80"/>
      </w:pPr>
      <w:r>
        <w:rPr>
          <w:rFonts w:ascii="Calibri" w:hAnsi="Calibri"/>
          <w:b/>
          <w:color w:val="1F3864"/>
          <w:sz w:val="26"/>
        </w:rPr>
        <w:t>8. Record Keeping</w:t>
      </w:r>
    </w:p>
    <w:p>
      <w:pPr>
        <w:pStyle w:val="ListBullet"/>
        <w:spacing w:after="60"/>
      </w:pPr>
      <w:r>
        <w:t>Maintain records of transactions and due-diligence information for at least [seven] years; and</w:t>
      </w:r>
    </w:p>
    <w:p>
      <w:pPr>
        <w:pStyle w:val="ListBullet"/>
        <w:spacing w:after="60"/>
      </w:pPr>
      <w:r>
        <w:t>Keep those records secure and accessible only to authorised personnel.</w:t>
      </w:r>
    </w:p>
    <w:p>
      <w:pPr>
        <w:keepNext/>
        <w:spacing w:before="200" w:after="80"/>
      </w:pPr>
      <w:r>
        <w:rPr>
          <w:rFonts w:ascii="Calibri" w:hAnsi="Calibri"/>
          <w:b/>
          <w:color w:val="1F3864"/>
          <w:sz w:val="26"/>
        </w:rPr>
        <w:t>9. Monitoring and Reporting</w:t>
      </w:r>
    </w:p>
    <w:p>
      <w:pPr>
        <w:spacing w:before="80"/>
      </w:pPr>
      <w:r>
        <w:rPr>
          <w:rFonts w:ascii="Calibri" w:hAnsi="Calibri"/>
          <w:b/>
          <w:i/>
          <w:color w:val="1F3864"/>
          <w:sz w:val="22"/>
        </w:rPr>
        <w:t>Ongoing Monitoring</w:t>
      </w:r>
    </w:p>
    <w:p>
      <w:pPr>
        <w:pStyle w:val="ListBullet"/>
        <w:spacing w:after="60"/>
      </w:pPr>
      <w:r>
        <w:t>Review transactions and activities regularly for signs of suspicious behaviour; and</w:t>
      </w:r>
    </w:p>
    <w:p>
      <w:pPr>
        <w:pStyle w:val="ListBullet"/>
        <w:spacing w:after="60"/>
      </w:pPr>
      <w:r>
        <w:t>Use a combination of system tools and manual checks to support monitoring.</w:t>
      </w:r>
    </w:p>
    <w:p>
      <w:pPr>
        <w:spacing w:before="80"/>
      </w:pPr>
      <w:r>
        <w:rPr>
          <w:rFonts w:ascii="Calibri" w:hAnsi="Calibri"/>
          <w:b/>
          <w:i/>
          <w:color w:val="1F3864"/>
          <w:sz w:val="22"/>
        </w:rPr>
        <w:t>Reporting Suspicious Activity</w:t>
      </w:r>
    </w:p>
    <w:p>
      <w:pPr>
        <w:pStyle w:val="ListBullet"/>
        <w:spacing w:after="60"/>
      </w:pPr>
      <w:r>
        <w:t>Report suspected activity to the designated [AML/CTF Compliance Officer]; and</w:t>
      </w:r>
    </w:p>
    <w:p>
      <w:pPr>
        <w:pStyle w:val="ListBullet"/>
        <w:spacing w:after="60"/>
      </w:pPr>
      <w:r>
        <w:t>The Compliance Officer will assess the matter and, where required, report to the Australian Transaction Reports and Analysis Centre (AUSTRAC).</w:t>
      </w:r>
    </w:p>
    <w:p>
      <w:pPr>
        <w:keepNext/>
        <w:spacing w:before="200" w:after="80"/>
      </w:pPr>
      <w:r>
        <w:rPr>
          <w:rFonts w:ascii="Calibri" w:hAnsi="Calibri"/>
          <w:b/>
          <w:color w:val="1F3864"/>
          <w:sz w:val="26"/>
        </w:rPr>
        <w:t>10. Training and Awareness</w:t>
      </w:r>
    </w:p>
    <w:p>
      <w:pPr>
        <w:pStyle w:val="ListBullet"/>
        <w:spacing w:after="60"/>
      </w:pPr>
      <w:r>
        <w:t>Provide mandatory training on money laundering, terrorism financing and fraud prevention to all staff and volunteers; and</w:t>
      </w:r>
    </w:p>
    <w:p>
      <w:pPr>
        <w:pStyle w:val="ListBullet"/>
        <w:spacing w:after="60"/>
      </w:pPr>
      <w:r>
        <w:t>Keep training materials current and aligned with legal requirements and good practice.</w:t>
      </w:r>
    </w:p>
    <w:p>
      <w:pPr>
        <w:keepNext/>
        <w:spacing w:before="200" w:after="80"/>
      </w:pPr>
      <w:r>
        <w:rPr>
          <w:rFonts w:ascii="Calibri" w:hAnsi="Calibri"/>
          <w:b/>
          <w:color w:val="1F3864"/>
          <w:sz w:val="26"/>
        </w:rPr>
        <w:t>11. Compliance</w:t>
      </w:r>
    </w:p>
    <w:p>
      <w:pPr>
        <w:pStyle w:val="ListBullet"/>
        <w:spacing w:after="60"/>
      </w:pPr>
      <w:r>
        <w:t>Failure to comply with this policy may lead to disciplinary action, up to and including termination of employment or partnership; and</w:t>
      </w:r>
    </w:p>
    <w:p>
      <w:pPr>
        <w:pStyle w:val="ListBullet"/>
        <w:spacing w:after="60"/>
      </w:pPr>
      <w:r>
        <w:t>Regular audits will be conducted to confirm adherence to this policy.</w:t>
      </w:r>
    </w:p>
    <w:p>
      <w:pPr>
        <w:keepNext/>
        <w:spacing w:before="200" w:after="80"/>
      </w:pPr>
      <w:r>
        <w:rPr>
          <w:rFonts w:ascii="Calibri" w:hAnsi="Calibri"/>
          <w:b/>
          <w:color w:val="1F3864"/>
          <w:sz w:val="26"/>
        </w:rPr>
        <w:t>12. Review</w:t>
      </w:r>
    </w:p>
    <w:p>
      <w:pPr>
        <w:jc w:val="both"/>
      </w:pPr>
      <w:r>
        <w:t>This policy will be reviewed at least annually, or earlier where needed, to keep it effective and consistent with changes in legislation, good practice or the organisation's needs.</w:t>
      </w:r>
    </w:p>
    <w:p>
      <w:r>
        <w:rPr>
          <w:rFonts w:ascii="Calibri" w:hAnsi="Calibri"/>
          <w:i/>
          <w:color w:val="595959"/>
          <w:sz w:val="20"/>
        </w:rPr>
        <w:t>Designated AML/CTF Compliance Officer: [Name], [Email], [Phone].</w:t>
      </w:r>
    </w:p>
    <w:p/>
    <w:p>
      <w:pPr>
        <w:keepNext/>
        <w:spacing w:before="200" w:after="80"/>
      </w:pPr>
      <w:r>
        <w:rPr>
          <w:rFonts w:ascii="Calibri" w:hAnsi="Calibri"/>
          <w:b/>
          <w:color w:val="1F3864"/>
          <w:sz w:val="26"/>
        </w:rPr>
        <w:t>Approval &amp; Acknowledgement</w:t>
      </w:r>
    </w:p>
    <w:p>
      <w:pPr>
        <w:jc w:val="both"/>
      </w:pPr>
      <w:r>
        <w:t>This policy has been approved by the [Board of Directors / approving body] of [Organisation Name]. By signing below, the approving officer confirms the policy has been adopted and that staff and volunteers are required to comply with it.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Role</w:t>
            </w:r>
          </w:p>
        </w:tc>
        <w:tc>
          <w:tcPr>
            <w:tcW w:type="dxa" w:w="2340"/>
            <w:shd w:val="clear" w:color="auto" w:fill="1F3864"/>
          </w:tcPr>
          <w:p>
            <w:r>
              <w:rPr>
                <w:rFonts w:ascii="Calibri" w:hAnsi="Calibri"/>
                <w:b/>
                <w:color w:val="FFFFFF"/>
                <w:sz w:val="20"/>
              </w:rPr>
              <w:t>Name</w:t>
            </w:r>
          </w:p>
        </w:tc>
        <w:tc>
          <w:tcPr>
            <w:tcW w:type="dxa" w:w="2340"/>
            <w:shd w:val="clear" w:color="auto" w:fill="1F3864"/>
          </w:tcPr>
          <w:p>
            <w:r>
              <w:rPr>
                <w:rFonts w:ascii="Calibri" w:hAnsi="Calibri"/>
                <w:b/>
                <w:color w:val="FFFFFF"/>
                <w:sz w:val="20"/>
              </w:rPr>
              <w:t>Signature</w:t>
            </w:r>
          </w:p>
        </w:tc>
        <w:tc>
          <w:tcPr>
            <w:tcW w:type="dxa" w:w="2340"/>
            <w:shd w:val="clear" w:color="auto" w:fill="1F3864"/>
          </w:tcPr>
          <w:p>
            <w:r>
              <w:rPr>
                <w:rFonts w:ascii="Calibri" w:hAnsi="Calibri"/>
                <w:b/>
                <w:color w:val="FFFFFF"/>
                <w:sz w:val="20"/>
              </w:rPr>
              <w:t>Date</w:t>
            </w:r>
          </w:p>
        </w:tc>
      </w:tr>
      <w:tr>
        <w:tc>
          <w:tcPr>
            <w:tcW w:type="dxa" w:w="2340"/>
          </w:tcPr>
          <w:p>
            <w:r>
              <w:rPr>
                <w:rFonts w:ascii="Calibri" w:hAnsi="Calibri"/>
                <w:sz w:val="20"/>
              </w:rPr>
              <w:t>Approved by (Director / Chair)</w:t>
            </w:r>
          </w:p>
        </w:tc>
        <w:tc>
          <w:tcPr>
            <w:tcW w:type="dxa" w:w="2340"/>
          </w:tcPr>
          <w:p>
            <w:r>
              <w:rPr>
                <w:rFonts w:ascii="Calibri" w:hAnsi="Calibri"/>
                <w:sz w:val="20"/>
              </w:rPr>
            </w:r>
          </w:p>
        </w:tc>
        <w:tc>
          <w:tcPr>
            <w:tcW w:type="dxa" w:w="2340"/>
          </w:tcPr>
          <w:p>
            <w:r>
              <w:rPr>
                <w:rFonts w:ascii="Calibri" w:hAnsi="Calibri"/>
                <w:sz w:val="20"/>
              </w:rPr>
            </w:r>
          </w:p>
        </w:tc>
        <w:tc>
          <w:tcPr>
            <w:tcW w:type="dxa" w:w="2340"/>
          </w:tcPr>
          <w:p>
            <w:r>
              <w:rPr>
                <w:rFonts w:ascii="Calibri" w:hAnsi="Calibri"/>
                <w:sz w:val="20"/>
              </w:rPr>
            </w:r>
          </w:p>
        </w:tc>
      </w:tr>
      <w:tr>
        <w:tc>
          <w:tcPr>
            <w:tcW w:type="dxa" w:w="2340"/>
            <w:shd w:val="clear" w:color="auto" w:fill="F2F4F9"/>
          </w:tcPr>
          <w:p>
            <w:r>
              <w:rPr>
                <w:rFonts w:ascii="Calibri" w:hAnsi="Calibri"/>
                <w:sz w:val="20"/>
              </w:rPr>
              <w:t>Policy Owner</w:t>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r>
    </w:tbl>
    <w:p/>
    <w:p>
      <w:pPr>
        <w:keepNext/>
        <w:spacing w:before="200" w:after="80"/>
      </w:pPr>
      <w:r>
        <w:rPr>
          <w:rFonts w:ascii="Calibri" w:hAnsi="Calibri"/>
          <w:b/>
          <w:color w:val="1F3864"/>
          <w:sz w:val="26"/>
        </w:rPr>
        <w:t>Version History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Version</w:t>
            </w:r>
          </w:p>
        </w:tc>
        <w:tc>
          <w:tcPr>
            <w:tcW w:type="dxa" w:w="2340"/>
            <w:shd w:val="clear" w:color="auto" w:fill="1F3864"/>
          </w:tcPr>
          <w:p>
            <w:r>
              <w:rPr>
                <w:rFonts w:ascii="Calibri" w:hAnsi="Calibri"/>
                <w:b/>
                <w:color w:val="FFFFFF"/>
                <w:sz w:val="20"/>
              </w:rPr>
              <w:t>Date</w:t>
            </w:r>
          </w:p>
        </w:tc>
        <w:tc>
          <w:tcPr>
            <w:tcW w:type="dxa" w:w="2340"/>
            <w:shd w:val="clear" w:color="auto" w:fill="1F3864"/>
          </w:tcPr>
          <w:p>
            <w:r>
              <w:rPr>
                <w:rFonts w:ascii="Calibri" w:hAnsi="Calibri"/>
                <w:b/>
                <w:color w:val="FFFFFF"/>
                <w:sz w:val="20"/>
              </w:rPr>
              <w:t>Author / Reviser</w:t>
            </w:r>
          </w:p>
        </w:tc>
        <w:tc>
          <w:tcPr>
            <w:tcW w:type="dxa" w:w="2340"/>
            <w:shd w:val="clear" w:color="auto" w:fill="1F3864"/>
          </w:tcPr>
          <w:p>
            <w:r>
              <w:rPr>
                <w:rFonts w:ascii="Calibri" w:hAnsi="Calibri"/>
                <w:b/>
                <w:color w:val="FFFFFF"/>
                <w:sz w:val="20"/>
              </w:rPr>
              <w:t>Summary of Changes</w:t>
            </w:r>
          </w:p>
        </w:tc>
      </w:tr>
      <w:tr>
        <w:tc>
          <w:tcPr>
            <w:tcW w:type="dxa" w:w="1296"/>
          </w:tcPr>
          <w:p>
            <w:r>
              <w:rPr>
                <w:rFonts w:ascii="Calibri" w:hAnsi="Calibri"/>
                <w:sz w:val="20"/>
              </w:rPr>
              <w:t>1.0</w:t>
            </w:r>
          </w:p>
        </w:tc>
        <w:tc>
          <w:tcPr>
            <w:tcW w:type="dxa" w:w="1584"/>
          </w:tcPr>
          <w:p>
            <w:r>
              <w:rPr>
                <w:rFonts w:ascii="Calibri" w:hAnsi="Calibri"/>
                <w:sz w:val="20"/>
              </w:rPr>
              <w:t>[Date]</w:t>
            </w:r>
          </w:p>
        </w:tc>
        <w:tc>
          <w:tcPr>
            <w:tcW w:type="dxa" w:w="2880"/>
          </w:tcPr>
          <w:p>
            <w:r>
              <w:rPr>
                <w:rFonts w:ascii="Calibri" w:hAnsi="Calibri"/>
                <w:sz w:val="20"/>
              </w:rPr>
              <w:t>[Name]</w:t>
            </w:r>
          </w:p>
        </w:tc>
        <w:tc>
          <w:tcPr>
            <w:tcW w:type="dxa" w:w="3600"/>
          </w:tcPr>
          <w:p>
            <w:r>
              <w:rPr>
                <w:rFonts w:ascii="Calibri" w:hAnsi="Calibri"/>
                <w:sz w:val="20"/>
              </w:rPr>
              <w:t>Initial adoption of policy.</w:t>
            </w:r>
          </w:p>
        </w:tc>
      </w:tr>
      <w:tr>
        <w:tc>
          <w:tcPr>
            <w:tcW w:type="dxa" w:w="1296"/>
          </w:tcPr>
          <w:p>
            <w:r>
              <w:rPr>
                <w:rFonts w:ascii="Calibri" w:hAnsi="Calibri"/>
                <w:sz w:val="20"/>
              </w:rPr>
            </w:r>
          </w:p>
        </w:tc>
        <w:tc>
          <w:tcPr>
            <w:tcW w:type="dxa" w:w="1584"/>
          </w:tcPr>
          <w:p>
            <w:r>
              <w:rPr>
                <w:rFonts w:ascii="Calibri" w:hAnsi="Calibri"/>
                <w:sz w:val="20"/>
              </w:rPr>
            </w:r>
          </w:p>
        </w:tc>
        <w:tc>
          <w:tcPr>
            <w:tcW w:type="dxa" w:w="2880"/>
          </w:tcPr>
          <w:p>
            <w:r>
              <w:rPr>
                <w:rFonts w:ascii="Calibri" w:hAnsi="Calibri"/>
                <w:sz w:val="20"/>
              </w:rPr>
            </w:r>
          </w:p>
        </w:tc>
        <w:tc>
          <w:tcPr>
            <w:tcW w:type="dxa" w:w="3600"/>
          </w:tcPr>
          <w:p>
            <w:r>
              <w:rPr>
                <w:rFonts w:ascii="Calibri" w:hAnsi="Calibri"/>
                <w:sz w:val="20"/>
              </w:rPr>
            </w:r>
          </w:p>
        </w:tc>
      </w:tr>
    </w:tbl>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Anti-Money Laundering, Counter-Terrorism Financing and Financial Fraud Policy  |  [Organisation Name]  |  Template — customise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