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ACQUITTAL REFUNDS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Acquittal Refunds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maintains transparency and accountability in managing funds received under Funding Agreements (FAs). This policy sets out the procedures for acquittal refunds, ensuring compliance with donor requirements and Australian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the process for acquitting funds and handling refunds;</w:t>
      </w:r>
    </w:p>
    <w:p>
      <w:pPr>
        <w:pStyle w:val="ListBullet"/>
        <w:spacing w:after="60"/>
      </w:pPr>
      <w:r>
        <w:t>ensure accurate, timely reporting of fund usage;</w:t>
      </w:r>
    </w:p>
    <w:p>
      <w:pPr>
        <w:pStyle w:val="ListBullet"/>
        <w:spacing w:after="60"/>
      </w:pPr>
      <w:r>
        <w:t>comply with the terms of Funding Agreements; and</w:t>
      </w:r>
    </w:p>
    <w:p>
      <w:pPr>
        <w:pStyle w:val="ListBullet"/>
        <w:spacing w:after="60"/>
      </w:pPr>
      <w:r>
        <w:t>maintain transparency and accountability.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 and Definitions</w:t>
      </w:r>
    </w:p>
    <w:p>
      <w:pPr>
        <w:pStyle w:val="ListBullet"/>
        <w:spacing w:after="60"/>
      </w:pPr>
      <w:r>
        <w:t>applies to all staff, volunteers and contractors managing or reporting FA funds;</w:t>
      </w:r>
    </w:p>
    <w:p>
      <w:pPr>
        <w:pStyle w:val="ListBullet"/>
        <w:spacing w:after="60"/>
      </w:pPr>
      <w:r>
        <w:t>Acquittal — detailed accounting and reporting of how funds were spent;</w:t>
      </w:r>
    </w:p>
    <w:p>
      <w:pPr>
        <w:pStyle w:val="ListBullet"/>
        <w:spacing w:after="60"/>
      </w:pPr>
      <w:r>
        <w:t>Funding Agreement — a formal agreement setting out terms, conditions and reporting; and</w:t>
      </w:r>
    </w:p>
    <w:p>
      <w:pPr>
        <w:pStyle w:val="ListBullet"/>
        <w:spacing w:after="60"/>
      </w:pPr>
      <w:r>
        <w:t>Refund — the return of unspent or misallocated funds as specified in the FA.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Acquittal Process</w:t>
      </w:r>
    </w:p>
    <w:p>
      <w:pPr>
        <w:pStyle w:val="ListBullet"/>
        <w:spacing w:after="60"/>
      </w:pPr>
      <w:r>
        <w:t>maintain accurate records of all FA expenditure with supporting documentation;</w:t>
      </w:r>
    </w:p>
    <w:p>
      <w:pPr>
        <w:pStyle w:val="ListBullet"/>
        <w:spacing w:after="60"/>
      </w:pPr>
      <w:r>
        <w:t>prepare an acquittal report per the donor's requirements, including financial statements and receipts, by the deadline; and</w:t>
      </w:r>
    </w:p>
    <w:p>
      <w:pPr>
        <w:pStyle w:val="ListBullet"/>
        <w:spacing w:after="60"/>
      </w:pPr>
      <w:r>
        <w:t>finance reviews the report for accuracy, the department head or project manager approves, and the Executive Director gives final approval before submission.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Refund Process</w:t>
      </w:r>
    </w:p>
    <w:p>
      <w:pPr>
        <w:pStyle w:val="ListBullet"/>
        <w:spacing w:after="60"/>
      </w:pPr>
      <w:r>
        <w:t>identify unspent or misallocated funds during acquittal and calculate the refund;</w:t>
      </w:r>
    </w:p>
    <w:p>
      <w:pPr>
        <w:pStyle w:val="ListBullet"/>
        <w:spacing w:after="60"/>
      </w:pPr>
      <w:r>
        <w:t>notify the donor of the intention to refund, with a breakdown;</w:t>
      </w:r>
    </w:p>
    <w:p>
      <w:pPr>
        <w:pStyle w:val="ListBullet"/>
        <w:spacing w:after="60"/>
      </w:pPr>
      <w:r>
        <w:t>process the refund per the donor's instructions and obtain acknowledgement; and</w:t>
      </w:r>
    </w:p>
    <w:p>
      <w:pPr>
        <w:pStyle w:val="ListBullet"/>
        <w:spacing w:after="60"/>
      </w:pPr>
      <w:r>
        <w:t>maintain records and update the financial records to reflect the refund.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Responsibilities</w:t>
      </w:r>
    </w:p>
    <w:p>
      <w:pPr>
        <w:pStyle w:val="ListBullet"/>
        <w:spacing w:after="60"/>
      </w:pPr>
      <w:r>
        <w:t>Finance — oversees acquittal and refunds and ensures accuracy and timeliness;</w:t>
      </w:r>
    </w:p>
    <w:p>
      <w:pPr>
        <w:pStyle w:val="ListBullet"/>
        <w:spacing w:after="60"/>
      </w:pPr>
      <w:r>
        <w:t>Department Heads/Project Managers — ensure FA compliance, monitor usage and approve within their authority; and</w:t>
      </w:r>
    </w:p>
    <w:p>
      <w:pPr>
        <w:pStyle w:val="ListBullet"/>
        <w:spacing w:after="60"/>
      </w:pPr>
      <w:r>
        <w:t>Employees/Contractors — use funds per the FA, keep records and report discrepancies.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Compliance, Training and Review</w:t>
      </w:r>
    </w:p>
    <w:p>
      <w:pPr>
        <w:jc w:val="both"/>
      </w:pPr>
      <w:r>
        <w:t>Relevant staff receive training; breaches must be reported immediately. This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Acquittal Refunds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