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BANK AND PLATFORM AUTHORISATIONS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Bank and Platform Authorisations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procedures for authorising bank accounts and other financial platforms to protect the financial security and integrity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directors, staff and volunteers involved in managing or administering bank accounts and financial platforms.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Authorisation — granting permission to access and manage financial accounts;</w:t>
      </w:r>
    </w:p>
    <w:p>
      <w:pPr>
        <w:pStyle w:val="ListBullet"/>
        <w:spacing w:after="60"/>
      </w:pPr>
      <w:r>
        <w:t>Financial Platforms — online banking, payment gateways, fundraising platforms and other financial services; and</w:t>
      </w:r>
    </w:p>
    <w:p>
      <w:pPr>
        <w:pStyle w:val="ListBullet"/>
        <w:spacing w:after="60"/>
      </w:pPr>
      <w:r>
        <w:t>Authorised Personnel — individuals permitted to operate the organisation's financial accounts.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pStyle w:val="ListBullet"/>
        <w:spacing w:after="60"/>
      </w:pPr>
      <w:r>
        <w:t>Board — approves the policy and appoints authorised personnel;</w:t>
      </w:r>
    </w:p>
    <w:p>
      <w:pPr>
        <w:pStyle w:val="ListBullet"/>
        <w:spacing w:after="60"/>
      </w:pPr>
      <w:r>
        <w:t>Finance Committee — oversees implementation and recommends changes;</w:t>
      </w:r>
    </w:p>
    <w:p>
      <w:pPr>
        <w:pStyle w:val="ListBullet"/>
        <w:spacing w:after="60"/>
      </w:pPr>
      <w:r>
        <w:t>Chief Financial Officer — ensures adherence, manages operations and conducts audits; and</w:t>
      </w:r>
    </w:p>
    <w:p>
      <w:pPr>
        <w:pStyle w:val="ListBullet"/>
        <w:spacing w:after="60"/>
      </w:pPr>
      <w:r>
        <w:t>Authorised Personnel — comply with the policy and safeguard financial resources.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Authorisation Process</w:t>
      </w:r>
    </w:p>
    <w:p>
      <w:pPr>
        <w:pStyle w:val="ListBullet"/>
        <w:spacing w:after="60"/>
      </w:pPr>
      <w:r>
        <w:t>identify the need for new accounts or platform access;</w:t>
      </w:r>
    </w:p>
    <w:p>
      <w:pPr>
        <w:pStyle w:val="ListBullet"/>
        <w:spacing w:after="60"/>
      </w:pPr>
      <w:r>
        <w:t>select authorised personnel based on financial competence and trustworthiness, including at least one senior staff member and one board member;</w:t>
      </w:r>
    </w:p>
    <w:p>
      <w:pPr>
        <w:pStyle w:val="ListBullet"/>
        <w:spacing w:after="60"/>
      </w:pPr>
      <w:r>
        <w:t>submit a formal request to the Finance Committee, which recommends to the Board for approval; and</w:t>
      </w:r>
    </w:p>
    <w:p>
      <w:pPr>
        <w:pStyle w:val="ListBullet"/>
        <w:spacing w:after="60"/>
      </w:pPr>
      <w:r>
        <w:t>maintain a register of authorised personnel and store all decisions securely.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Bank Account Management</w:t>
      </w:r>
    </w:p>
    <w:p>
      <w:pPr>
        <w:pStyle w:val="ListBullet"/>
        <w:spacing w:after="60"/>
      </w:pPr>
      <w:r>
        <w:t>new accounts are approved by the Board, with at least two authorised signatories for transactions;</w:t>
      </w:r>
    </w:p>
    <w:p>
      <w:pPr>
        <w:pStyle w:val="ListBullet"/>
        <w:spacing w:after="60"/>
      </w:pPr>
      <w:r>
        <w:t>the CFO reviews bank statements monthly and quarterly audits are conducted; and</w:t>
      </w:r>
    </w:p>
    <w:p>
      <w:pPr>
        <w:pStyle w:val="ListBullet"/>
        <w:spacing w:after="60"/>
      </w:pPr>
      <w:r>
        <w:t>online banking access is restricted and protected by multi-factor authentication.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Financial Platforms</w:t>
      </w:r>
    </w:p>
    <w:p>
      <w:pPr>
        <w:pStyle w:val="ListBullet"/>
        <w:spacing w:after="60"/>
      </w:pPr>
      <w:r>
        <w:t>select platforms on security, cost and functionality, with Board approval before signing agreements;</w:t>
      </w:r>
    </w:p>
    <w:p>
      <w:pPr>
        <w:pStyle w:val="ListBullet"/>
        <w:spacing w:after="60"/>
      </w:pPr>
      <w:r>
        <w:t>assign unique credentials, update permissions regularly and remove access for departed individuals; and</w:t>
      </w:r>
    </w:p>
    <w:p>
      <w:pPr>
        <w:pStyle w:val="ListBullet"/>
        <w:spacing w:after="60"/>
      </w:pPr>
      <w:r>
        <w:t>set transaction limits, with amounts above them requiring additional Board approval.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Training, Compliance and Incident Reporting</w:t>
      </w:r>
    </w:p>
    <w:p>
      <w:pPr>
        <w:pStyle w:val="ListBullet"/>
        <w:spacing w:after="60"/>
      </w:pPr>
      <w:r>
        <w:t>provide regular training on financial management, cybersecurity and compliance;</w:t>
      </w:r>
    </w:p>
    <w:p>
      <w:pPr>
        <w:pStyle w:val="ListBullet"/>
        <w:spacing w:after="60"/>
      </w:pPr>
      <w:r>
        <w:t>adhere to all relevant Australian law, including ACNC requirements; and</w:t>
      </w:r>
    </w:p>
    <w:p>
      <w:pPr>
        <w:pStyle w:val="ListBullet"/>
        <w:spacing w:after="60"/>
      </w:pPr>
      <w:r>
        <w:t>maintain a protocol for reporting and investigating unauthorised access or discrepancies.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 by the Finance Committee, with changes approved by the Board.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Bank and Platform Authorisations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