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FINANCIAL RECORD KEEPING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Financial Record Keeping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[Organisation Name] is committed to maintaining accurate and transparent financial records. This policy sets out the procedures and responsibilities for financial record-keeping to ensure compliance with Australian law and regulation.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pStyle w:val="ListBullet"/>
        <w:spacing w:after="60"/>
      </w:pPr>
      <w:r>
        <w:t>maintain accurate and complete financial records;</w:t>
      </w:r>
    </w:p>
    <w:p>
      <w:pPr>
        <w:pStyle w:val="ListBullet"/>
        <w:spacing w:after="60"/>
      </w:pPr>
      <w:r>
        <w:t>comply with ACNC regulations;</w:t>
      </w:r>
    </w:p>
    <w:p>
      <w:pPr>
        <w:pStyle w:val="ListBullet"/>
        <w:spacing w:after="60"/>
      </w:pPr>
      <w:r>
        <w:t>support effective financial management and reporting; and</w:t>
      </w:r>
    </w:p>
    <w:p>
      <w:pPr>
        <w:pStyle w:val="ListBullet"/>
        <w:spacing w:after="60"/>
      </w:pPr>
      <w:r>
        <w:t>enhance transparency and accountability.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employees, contractors, volunteers and partners involved in financial transactions and record-keeping for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Types of Financial Records</w:t>
      </w:r>
    </w:p>
    <w:p>
      <w:pPr>
        <w:pStyle w:val="ListBullet"/>
        <w:spacing w:after="60"/>
      </w:pPr>
      <w:r>
        <w:t>income records — donations, grants and fundraising income;</w:t>
      </w:r>
    </w:p>
    <w:p>
      <w:pPr>
        <w:pStyle w:val="ListBullet"/>
        <w:spacing w:after="60"/>
      </w:pPr>
      <w:r>
        <w:t>expense records — invoices, receipts and payroll;</w:t>
      </w:r>
    </w:p>
    <w:p>
      <w:pPr>
        <w:pStyle w:val="ListBullet"/>
        <w:spacing w:after="60"/>
      </w:pPr>
      <w:r>
        <w:t>bank records — statements, deposit slips and reconciliations;</w:t>
      </w:r>
    </w:p>
    <w:p>
      <w:pPr>
        <w:pStyle w:val="ListBullet"/>
        <w:spacing w:after="60"/>
      </w:pPr>
      <w:r>
        <w:t>asset records — purchase details and depreciation schedules;</w:t>
      </w:r>
    </w:p>
    <w:p>
      <w:pPr>
        <w:pStyle w:val="ListBullet"/>
        <w:spacing w:after="60"/>
      </w:pPr>
      <w:r>
        <w:t>liability records — loans and other obligations; and</w:t>
      </w:r>
    </w:p>
    <w:p>
      <w:pPr>
        <w:pStyle w:val="ListBullet"/>
        <w:spacing w:after="60"/>
      </w:pPr>
      <w:r>
        <w:t>financial reports — annual statements, budgets and internal reports.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Record-Keeping Procedures</w:t>
      </w:r>
    </w:p>
    <w:p>
      <w:pPr>
        <w:pStyle w:val="ListBullet"/>
        <w:spacing w:after="60"/>
      </w:pPr>
      <w:r>
        <w:t>record all transactions promptly and accurately, in physical and digital form where applicable;</w:t>
      </w:r>
    </w:p>
    <w:p>
      <w:pPr>
        <w:pStyle w:val="ListBullet"/>
        <w:spacing w:after="60"/>
      </w:pPr>
      <w:r>
        <w:t>use accounting software for accurate, efficient record-keeping;</w:t>
      </w:r>
    </w:p>
    <w:p>
      <w:pPr>
        <w:pStyle w:val="ListBullet"/>
        <w:spacing w:after="60"/>
      </w:pPr>
      <w:r>
        <w:t>keep records clear, complete and error-free, with supporting documents attached; and</w:t>
      </w:r>
    </w:p>
    <w:p>
      <w:pPr>
        <w:pStyle w:val="ListBullet"/>
        <w:spacing w:after="60"/>
      </w:pPr>
      <w:r>
        <w:t>use consistent, standardised formats.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Security and Confidentiality</w:t>
      </w:r>
    </w:p>
    <w:p>
      <w:pPr>
        <w:pStyle w:val="ListBullet"/>
        <w:spacing w:after="60"/>
      </w:pPr>
      <w:r>
        <w:t>store physical records in a secure, locked location with restricted access;</w:t>
      </w:r>
    </w:p>
    <w:p>
      <w:pPr>
        <w:pStyle w:val="ListBullet"/>
        <w:spacing w:after="60"/>
      </w:pPr>
      <w:r>
        <w:t>use secure accounting software with password protection and encryption; and</w:t>
      </w:r>
    </w:p>
    <w:p>
      <w:pPr>
        <w:pStyle w:val="ListBullet"/>
        <w:spacing w:after="60"/>
      </w:pPr>
      <w:r>
        <w:t>back up digital records regularly and restrict access to authorised personnel.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Retention and Disposal</w:t>
      </w:r>
    </w:p>
    <w:p>
      <w:pPr>
        <w:pStyle w:val="ListBullet"/>
        <w:spacing w:after="60"/>
      </w:pPr>
      <w:r>
        <w:t>retain financial records for at least seven years, as required by Australian law; and</w:t>
      </w:r>
    </w:p>
    <w:p>
      <w:pPr>
        <w:pStyle w:val="ListBullet"/>
        <w:spacing w:after="60"/>
      </w:pPr>
      <w:r>
        <w:t>dispose of records securely when no longer needed.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Responsibilities</w:t>
      </w:r>
    </w:p>
    <w:p>
      <w:pPr>
        <w:pStyle w:val="ListBullet"/>
        <w:spacing w:after="60"/>
      </w:pPr>
      <w:r>
        <w:t>Management — implements the policy, resources record-keeping, audits records and provides training; and</w:t>
      </w:r>
    </w:p>
    <w:p>
      <w:pPr>
        <w:pStyle w:val="ListBullet"/>
        <w:spacing w:after="60"/>
      </w:pPr>
      <w:r>
        <w:t>Staff and Volunteers — record transactions accurately, protect record security and report discrepancies immediately.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Compliance, Training and Review</w:t>
      </w:r>
    </w:p>
    <w:p>
      <w:pPr>
        <w:jc w:val="both"/>
      </w:pPr>
      <w:r>
        <w:t>Non-compliance may result in disciplinary action; breaches must be reported immediately. Staff receive regular training, and this policy is reviewed annually or as required.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Financial Record Keeping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