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INVOICE APPROVAL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Invoice Approval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Introduction</w:t>
      </w:r>
    </w:p>
    <w:p>
      <w:pPr>
        <w:jc w:val="both"/>
      </w:pPr>
      <w:r>
        <w:t>[Organisation Name] maintains a transparent, efficient invoice approval process. This policy sets out how invoices are verified and authorised to ensure timely payment, accurate records and compliance with Australian law.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Purpose</w:t>
      </w:r>
    </w:p>
    <w:p>
      <w:pPr>
        <w:pStyle w:val="ListBullet"/>
        <w:spacing w:after="60"/>
      </w:pPr>
      <w:r>
        <w:t>define the steps for invoice approval;</w:t>
      </w:r>
    </w:p>
    <w:p>
      <w:pPr>
        <w:pStyle w:val="ListBullet"/>
        <w:spacing w:after="60"/>
      </w:pPr>
      <w:r>
        <w:t>ensure invoices are accurate, valid and authorised before payment;</w:t>
      </w:r>
    </w:p>
    <w:p>
      <w:pPr>
        <w:pStyle w:val="ListBullet"/>
        <w:spacing w:after="60"/>
      </w:pPr>
      <w:r>
        <w:t>prevent fraud and error; and</w:t>
      </w:r>
    </w:p>
    <w:p>
      <w:pPr>
        <w:pStyle w:val="ListBullet"/>
        <w:spacing w:after="60"/>
      </w:pPr>
      <w:r>
        <w:t>comply with Australian financial regulation and good practice.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Scope</w:t>
      </w:r>
    </w:p>
    <w:p>
      <w:pPr>
        <w:jc w:val="both"/>
      </w:pPr>
      <w:r>
        <w:t>This policy applies to all employees, contractors and volunteers involved in the invoice approval process at [Organisation Name].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Invoice Approval Procedures</w:t>
      </w:r>
    </w:p>
    <w:p>
      <w:pPr>
        <w:pStyle w:val="ListBullet"/>
        <w:spacing w:after="60"/>
      </w:pPr>
      <w:r>
        <w:t>Receipt — invoices are sent directly to finance and date-stamped on receipt;</w:t>
      </w:r>
    </w:p>
    <w:p>
      <w:pPr>
        <w:pStyle w:val="ListBullet"/>
        <w:spacing w:after="60"/>
      </w:pPr>
      <w:r>
        <w:t>Verification — confirm details match the purchase order and delivery (where applicable), check required information (supplier, invoice number, date, description, total and GST) and verify calculations;</w:t>
      </w:r>
    </w:p>
    <w:p>
      <w:pPr>
        <w:pStyle w:val="ListBullet"/>
        <w:spacing w:after="60"/>
      </w:pPr>
      <w:r>
        <w:t>Coding and entry — assign the correct general-ledger codes and enter details promptly; and</w:t>
      </w:r>
    </w:p>
    <w:p>
      <w:pPr>
        <w:pStyle w:val="ListBullet"/>
        <w:spacing w:after="60"/>
      </w:pPr>
      <w:r>
        <w:t>Authorisation — the relevant department head or project manager approves within set limits (e.g. up to AUD 500 — [position]; AUD 501–5,000 — [position]; over AUD 5,000 — [position]), with multiple signatures for higher-value invoices.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Documentation and Record-Keeping</w:t>
      </w:r>
    </w:p>
    <w:p>
      <w:pPr>
        <w:pStyle w:val="ListBullet"/>
        <w:spacing w:after="60"/>
      </w:pPr>
      <w:r>
        <w:t>keep the approved invoice, purchase order and delivery receipt together;</w:t>
      </w:r>
    </w:p>
    <w:p>
      <w:pPr>
        <w:pStyle w:val="ListBullet"/>
        <w:spacing w:after="60"/>
      </w:pPr>
      <w:r>
        <w:t>maintain electronic records in the accounting system; and</w:t>
      </w:r>
    </w:p>
    <w:p>
      <w:pPr>
        <w:pStyle w:val="ListBullet"/>
        <w:spacing w:after="60"/>
      </w:pPr>
      <w:r>
        <w:t>retain records for at least seven years for audit purposes.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Dispute Resolution</w:t>
      </w:r>
    </w:p>
    <w:p>
      <w:pPr>
        <w:pStyle w:val="ListBullet"/>
        <w:spacing w:after="60"/>
      </w:pPr>
      <w:r>
        <w:t>notify the supplier promptly of any discrepancy;</w:t>
      </w:r>
    </w:p>
    <w:p>
      <w:pPr>
        <w:pStyle w:val="ListBullet"/>
        <w:spacing w:after="60"/>
      </w:pPr>
      <w:r>
        <w:t>resolve and document disputes; and</w:t>
      </w:r>
    </w:p>
    <w:p>
      <w:pPr>
        <w:pStyle w:val="ListBullet"/>
        <w:spacing w:after="60"/>
      </w:pPr>
      <w:r>
        <w:t>hold disputed invoices from payment until resolved.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Responsibilities</w:t>
      </w:r>
    </w:p>
    <w:p>
      <w:pPr>
        <w:pStyle w:val="ListBullet"/>
        <w:spacing w:after="60"/>
      </w:pPr>
      <w:r>
        <w:t>Finance — oversees the process, ensures timely processing and maintains records;</w:t>
      </w:r>
    </w:p>
    <w:p>
      <w:pPr>
        <w:pStyle w:val="ListBullet"/>
        <w:spacing w:after="60"/>
      </w:pPr>
      <w:r>
        <w:t>Department Heads/Project Managers — verify and approve invoices within their limits; and</w:t>
      </w:r>
    </w:p>
    <w:p>
      <w:pPr>
        <w:pStyle w:val="ListBullet"/>
        <w:spacing w:after="60"/>
      </w:pPr>
      <w:r>
        <w:t>Employees/Contractors — submit invoices and supporting documents promptly.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Compliance, Training and Review</w:t>
      </w:r>
    </w:p>
    <w:p>
      <w:pPr>
        <w:jc w:val="both"/>
      </w:pPr>
      <w:r>
        <w:t>Non-compliance may result in disciplinary action; breaches must be reported immediately. Relevant staff receive regular training, and the policy is reviewed annually or as required.</w:t>
      </w:r>
    </w:p>
    <w:p>
      <w:r>
        <w:rPr>
          <w:rFonts w:ascii="Calibri" w:hAnsi="Calibri"/>
          <w:i/>
          <w:color w:val="595959"/>
          <w:sz w:val="20"/>
        </w:rPr>
        <w:t>Approved by the Board on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Invoice Approval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