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MONTH-END PROCESS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Month-End Process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is committed to accurate, timely financial records. This policy sets out the month-end process to support accurate reporting, effective financial management and compliance with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define the steps and responsibilities for month-end;</w:t>
      </w:r>
    </w:p>
    <w:p>
      <w:pPr>
        <w:pStyle w:val="ListBullet"/>
        <w:spacing w:after="60"/>
      </w:pPr>
      <w:r>
        <w:t>ensure the completeness and accuracy of financial records;</w:t>
      </w:r>
    </w:p>
    <w:p>
      <w:pPr>
        <w:pStyle w:val="ListBullet"/>
        <w:spacing w:after="60"/>
      </w:pPr>
      <w:r>
        <w:t>provide timely reports to management and stakeholders; and</w:t>
      </w:r>
    </w:p>
    <w:p>
      <w:pPr>
        <w:pStyle w:val="ListBullet"/>
        <w:spacing w:after="60"/>
      </w:pPr>
      <w:r>
        <w:t>comply with Australian financial regulation and accounting standards.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 involved in financial management and reporting at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Month-End Procedures</w:t>
      </w:r>
    </w:p>
    <w:p>
      <w:pPr>
        <w:pStyle w:val="ListBullet"/>
        <w:spacing w:after="60"/>
      </w:pPr>
      <w:r>
        <w:t>Pre-closing — confirm all invoices issued and recorded, vendor invoices approved and recorded, bank accounts and petty cash reconciled;</w:t>
      </w:r>
    </w:p>
    <w:p>
      <w:pPr>
        <w:pStyle w:val="ListBullet"/>
        <w:spacing w:after="60"/>
      </w:pPr>
      <w:r>
        <w:t>Review and adjustment — record accruals and prepayments, update the fixed asset register and depreciation, and post correcting journal entries;</w:t>
      </w:r>
    </w:p>
    <w:p>
      <w:pPr>
        <w:pStyle w:val="ListBullet"/>
        <w:spacing w:after="60"/>
      </w:pPr>
      <w:r>
        <w:t>Financial close — review the general ledger, perform variance analysis against budget and ensure supporting documentation is complete; and</w:t>
      </w:r>
    </w:p>
    <w:p>
      <w:pPr>
        <w:pStyle w:val="ListBullet"/>
        <w:spacing w:after="60"/>
      </w:pPr>
      <w:r>
        <w:t>Reporting — generate the trial balance and prepare the balance sheet, income statement and cash flow statement, plus management reports for review and approval by the Finance Manager and Executive Director.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Communication and Distribution</w:t>
      </w:r>
    </w:p>
    <w:p>
      <w:pPr>
        <w:pStyle w:val="ListBullet"/>
        <w:spacing w:after="60"/>
      </w:pPr>
      <w:r>
        <w:t>distribute approved reports to relevant internal stakeholders; and</w:t>
      </w:r>
    </w:p>
    <w:p>
      <w:pPr>
        <w:pStyle w:val="ListBullet"/>
        <w:spacing w:after="60"/>
      </w:pPr>
      <w:r>
        <w:t>prepare and submit any required external reports to regulators or donors.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Responsibilities</w:t>
      </w:r>
    </w:p>
    <w:p>
      <w:pPr>
        <w:pStyle w:val="ListBullet"/>
        <w:spacing w:after="60"/>
      </w:pPr>
      <w:r>
        <w:t>Finance — oversees month-end, prepares and reviews records and reports, and trains staff;</w:t>
      </w:r>
    </w:p>
    <w:p>
      <w:pPr>
        <w:pStyle w:val="ListBullet"/>
        <w:spacing w:after="60"/>
      </w:pPr>
      <w:r>
        <w:t>Department Heads/Project Managers — submit data on time and review reports for their areas; and</w:t>
      </w:r>
    </w:p>
    <w:p>
      <w:pPr>
        <w:pStyle w:val="ListBullet"/>
        <w:spacing w:after="60"/>
      </w:pPr>
      <w:r>
        <w:t>Employees — follow procedures and report discrepancies.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Compliance, Training and Review</w:t>
      </w:r>
    </w:p>
    <w:p>
      <w:pPr>
        <w:jc w:val="both"/>
      </w:pPr>
      <w:r>
        <w:t>Non-compliance may result in disciplinary action; breaches must be reported immediately. Staff receive regular training, and the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Month-End Process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