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MARKETING PERFORMANCE REVIEW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Marketing Performance Review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guidelines for measuring, analysing and reporting the performance of marketing activities at [Organisation Name], supporting transparency, accountability and continuous improvement.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marketing activities — digital, print, events and media relations — and to all staff, volunteers and contractors involved.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Performance Indicators</w:t>
      </w:r>
    </w:p>
    <w:p>
      <w:pPr>
        <w:pStyle w:val="ListBullet"/>
        <w:spacing w:after="60"/>
      </w:pPr>
      <w:r>
        <w:t>Digital — website traffic, social media metrics, email metrics and SEO performance;</w:t>
      </w:r>
    </w:p>
    <w:p>
      <w:pPr>
        <w:pStyle w:val="ListBullet"/>
        <w:spacing w:after="60"/>
      </w:pPr>
      <w:r>
        <w:t>Campaigns — reach, engagement, conversions (donations, sign-ups, registrations) and return on investment; and</w:t>
      </w:r>
    </w:p>
    <w:p>
      <w:pPr>
        <w:pStyle w:val="ListBullet"/>
        <w:spacing w:after="60"/>
      </w:pPr>
      <w:r>
        <w:t>Content — reach, engagement and leads generated.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Data Collection and Analysis</w:t>
      </w:r>
    </w:p>
    <w:p>
      <w:pPr>
        <w:pStyle w:val="ListBullet"/>
        <w:spacing w:after="60"/>
      </w:pPr>
      <w:r>
        <w:t>use website analytics, social media analytics, email platforms and campaign tracking tools; and</w:t>
      </w:r>
    </w:p>
    <w:p>
      <w:pPr>
        <w:pStyle w:val="ListBullet"/>
        <w:spacing w:after="60"/>
      </w:pPr>
      <w:r>
        <w:t>report performance weekly, monthly and quarterly, using visual summaries and narrative, distributed to the team, senior management and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Review and Evaluation</w:t>
      </w:r>
    </w:p>
    <w:p>
      <w:pPr>
        <w:pStyle w:val="ListBullet"/>
        <w:spacing w:after="60"/>
      </w:pPr>
      <w:r>
        <w:t>weekly reports summarise activities and immediate results;</w:t>
      </w:r>
    </w:p>
    <w:p>
      <w:pPr>
        <w:pStyle w:val="ListBullet"/>
        <w:spacing w:after="60"/>
      </w:pPr>
      <w:r>
        <w:t>monthly reports analyse activities, achievements and challenges;</w:t>
      </w:r>
    </w:p>
    <w:p>
      <w:pPr>
        <w:pStyle w:val="ListBullet"/>
        <w:spacing w:after="60"/>
      </w:pPr>
      <w:r>
        <w:t>quarterly reviews evaluate KPIs and provide strategic recommendations; and</w:t>
      </w:r>
    </w:p>
    <w:p>
      <w:pPr>
        <w:pStyle w:val="ListBullet"/>
        <w:spacing w:after="60"/>
      </w:pPr>
      <w:r>
        <w:t>feedback, data-driven adjustments and benchmarking drive continuous improvement.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Marketing team — collect and analyse data and prepare reports;</w:t>
      </w:r>
    </w:p>
    <w:p>
      <w:pPr>
        <w:pStyle w:val="ListBullet"/>
        <w:spacing w:after="60"/>
      </w:pPr>
      <w:r>
        <w:t>Marketing manager — oversee analysis and reporting, approve reports and lead quarterly reviews; and</w:t>
      </w:r>
    </w:p>
    <w:p>
      <w:pPr>
        <w:pStyle w:val="ListBullet"/>
        <w:spacing w:after="60"/>
      </w:pPr>
      <w:r>
        <w:t>Executive team — review key insights and provide strategic guidance.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Review</w:t>
      </w:r>
    </w:p>
    <w:p>
      <w:pPr>
        <w:jc w:val="both"/>
      </w:pPr>
      <w:r>
        <w:t>Data must be accurate and reported transparently, with team members accountable for performance targets. This policy is reviewed annually.</w:t>
      </w:r>
    </w:p>
    <w:p>
      <w:r>
        <w:rPr>
          <w:rFonts w:ascii="Calibri" w:hAnsi="Calibri"/>
          <w:i/>
          <w:color w:val="595959"/>
          <w:sz w:val="20"/>
        </w:rPr>
        <w:t>Updates are communicated to all relevant parties.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Marketing Performance Review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